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AE3475" w14:textId="5D2653BC" w:rsidR="001B1E04" w:rsidRPr="00A01D0E" w:rsidRDefault="001B1E04" w:rsidP="001B1E04">
      <w:pPr>
        <w:pStyle w:val="3GPPHeader"/>
        <w:spacing w:after="60"/>
        <w:rPr>
          <w:sz w:val="32"/>
          <w:szCs w:val="32"/>
          <w:highlight w:val="yellow"/>
        </w:rPr>
      </w:pPr>
      <w:bookmarkStart w:id="0" w:name="OLE_LINK1"/>
      <w:bookmarkStart w:id="1" w:name="OLE_LINK2"/>
      <w:r w:rsidRPr="00A01D0E">
        <w:t>3GPP TSG</w:t>
      </w:r>
      <w:r w:rsidRPr="001B1E04">
        <w:t>-RAN WG3 #10</w:t>
      </w:r>
      <w:r w:rsidR="007D1EDB">
        <w:t>4</w:t>
      </w:r>
      <w:r w:rsidRPr="00A01D0E">
        <w:tab/>
      </w:r>
      <w:r w:rsidR="004E0E7A">
        <w:t xml:space="preserve">   </w:t>
      </w:r>
      <w:r w:rsidR="006E40CC">
        <w:t xml:space="preserve">      </w:t>
      </w:r>
      <w:r w:rsidRPr="00A01D0E">
        <w:rPr>
          <w:szCs w:val="24"/>
        </w:rPr>
        <w:t>R</w:t>
      </w:r>
      <w:r>
        <w:rPr>
          <w:szCs w:val="24"/>
        </w:rPr>
        <w:t>3</w:t>
      </w:r>
      <w:r w:rsidRPr="00A01D0E">
        <w:rPr>
          <w:szCs w:val="24"/>
        </w:rPr>
        <w:t>-</w:t>
      </w:r>
      <w:r w:rsidRPr="001B1E04">
        <w:rPr>
          <w:szCs w:val="24"/>
        </w:rPr>
        <w:t>1</w:t>
      </w:r>
      <w:r w:rsidR="00975D57">
        <w:rPr>
          <w:szCs w:val="24"/>
        </w:rPr>
        <w:t>9</w:t>
      </w:r>
      <w:r w:rsidR="006E40CC">
        <w:rPr>
          <w:szCs w:val="24"/>
        </w:rPr>
        <w:t>2630</w:t>
      </w:r>
    </w:p>
    <w:p w14:paraId="3BC189AA" w14:textId="48DB69D2" w:rsidR="00616831" w:rsidRDefault="007D1EDB" w:rsidP="00700F24">
      <w:pPr>
        <w:pStyle w:val="TdocHeader2"/>
        <w:pBdr>
          <w:bottom w:val="single" w:sz="6" w:space="1" w:color="auto"/>
        </w:pBdr>
        <w:spacing w:after="120"/>
        <w:rPr>
          <w:rFonts w:eastAsia="Malgun Gothic" w:cstheme="minorBidi"/>
          <w:sz w:val="24"/>
          <w:szCs w:val="22"/>
          <w:lang w:val="en-US" w:eastAsia="zh-CN"/>
        </w:rPr>
      </w:pPr>
      <w:r>
        <w:rPr>
          <w:rFonts w:eastAsia="Malgun Gothic" w:cstheme="minorBidi"/>
          <w:sz w:val="24"/>
          <w:szCs w:val="22"/>
          <w:lang w:val="en-US" w:eastAsia="zh-CN"/>
        </w:rPr>
        <w:t>Reno</w:t>
      </w:r>
      <w:r w:rsidR="00875E94" w:rsidRPr="00875E94">
        <w:rPr>
          <w:rFonts w:eastAsia="Malgun Gothic" w:cstheme="minorBidi"/>
          <w:sz w:val="24"/>
          <w:szCs w:val="22"/>
          <w:lang w:val="en-US" w:eastAsia="zh-CN"/>
        </w:rPr>
        <w:t xml:space="preserve">, </w:t>
      </w:r>
      <w:r>
        <w:rPr>
          <w:rFonts w:eastAsia="Malgun Gothic" w:cstheme="minorBidi"/>
          <w:sz w:val="24"/>
          <w:szCs w:val="22"/>
          <w:lang w:val="en-US" w:eastAsia="zh-CN"/>
        </w:rPr>
        <w:t>Nevada</w:t>
      </w:r>
      <w:r w:rsidR="00875E94" w:rsidRPr="00875E94">
        <w:rPr>
          <w:rFonts w:eastAsia="Malgun Gothic" w:cstheme="minorBidi"/>
          <w:sz w:val="24"/>
          <w:szCs w:val="22"/>
          <w:lang w:val="en-US" w:eastAsia="zh-CN"/>
        </w:rPr>
        <w:t xml:space="preserve">, </w:t>
      </w:r>
      <w:r>
        <w:rPr>
          <w:rFonts w:eastAsia="Malgun Gothic" w:cstheme="minorBidi"/>
          <w:sz w:val="24"/>
          <w:szCs w:val="22"/>
          <w:lang w:val="en-US" w:eastAsia="zh-CN"/>
        </w:rPr>
        <w:t>13</w:t>
      </w:r>
      <w:r w:rsidRPr="007D1EDB">
        <w:rPr>
          <w:rFonts w:eastAsia="Malgun Gothic" w:cstheme="minorBidi"/>
          <w:sz w:val="24"/>
          <w:szCs w:val="22"/>
          <w:vertAlign w:val="superscript"/>
          <w:lang w:val="en-US" w:eastAsia="zh-CN"/>
        </w:rPr>
        <w:t>th</w:t>
      </w:r>
      <w:r>
        <w:rPr>
          <w:rFonts w:eastAsia="Malgun Gothic" w:cstheme="minorBidi"/>
          <w:sz w:val="24"/>
          <w:szCs w:val="22"/>
          <w:lang w:val="en-US" w:eastAsia="zh-CN"/>
        </w:rPr>
        <w:t xml:space="preserve"> May</w:t>
      </w:r>
      <w:r w:rsidR="00975D57">
        <w:rPr>
          <w:rFonts w:eastAsia="Malgun Gothic" w:cstheme="minorBidi"/>
          <w:sz w:val="24"/>
          <w:szCs w:val="22"/>
          <w:lang w:val="en-US" w:eastAsia="zh-CN"/>
        </w:rPr>
        <w:t xml:space="preserve"> – </w:t>
      </w:r>
      <w:r w:rsidR="00875E94" w:rsidRPr="00875E94">
        <w:rPr>
          <w:rFonts w:eastAsia="Malgun Gothic" w:cstheme="minorBidi"/>
          <w:sz w:val="24"/>
          <w:szCs w:val="22"/>
          <w:lang w:val="en-US" w:eastAsia="zh-CN"/>
        </w:rPr>
        <w:t>1</w:t>
      </w:r>
      <w:r>
        <w:rPr>
          <w:rFonts w:eastAsia="Malgun Gothic" w:cstheme="minorBidi"/>
          <w:sz w:val="24"/>
          <w:szCs w:val="22"/>
          <w:lang w:val="en-US" w:eastAsia="zh-CN"/>
        </w:rPr>
        <w:t>7th</w:t>
      </w:r>
      <w:r w:rsidR="00875E94" w:rsidRPr="00875E94">
        <w:rPr>
          <w:rFonts w:eastAsia="Malgun Gothic" w:cstheme="minorBidi"/>
          <w:sz w:val="24"/>
          <w:szCs w:val="22"/>
          <w:lang w:val="en-US" w:eastAsia="zh-CN"/>
        </w:rPr>
        <w:t xml:space="preserve"> </w:t>
      </w:r>
      <w:r w:rsidR="00975D57">
        <w:rPr>
          <w:rFonts w:eastAsia="Malgun Gothic" w:cstheme="minorBidi"/>
          <w:sz w:val="24"/>
          <w:szCs w:val="22"/>
          <w:lang w:val="en-US" w:eastAsia="zh-CN"/>
        </w:rPr>
        <w:t>Ma</w:t>
      </w:r>
      <w:r>
        <w:rPr>
          <w:rFonts w:eastAsia="Malgun Gothic" w:cstheme="minorBidi"/>
          <w:sz w:val="24"/>
          <w:szCs w:val="22"/>
          <w:lang w:val="en-US" w:eastAsia="zh-CN"/>
        </w:rPr>
        <w:t>y</w:t>
      </w:r>
      <w:r w:rsidR="00975D57">
        <w:rPr>
          <w:rFonts w:eastAsia="Malgun Gothic" w:cstheme="minorBidi"/>
          <w:sz w:val="24"/>
          <w:szCs w:val="22"/>
          <w:lang w:val="en-US" w:eastAsia="zh-CN"/>
        </w:rPr>
        <w:t xml:space="preserve"> 2019</w:t>
      </w:r>
    </w:p>
    <w:p w14:paraId="0C6EE2FE" w14:textId="77777777" w:rsidR="00875E94" w:rsidRDefault="00875E94"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33264D51" w14:textId="77777777" w:rsidR="007D1EDB" w:rsidRDefault="00D52BF3" w:rsidP="00700F24">
      <w:pPr>
        <w:pStyle w:val="TdocHeader2"/>
        <w:spacing w:after="120"/>
        <w:rPr>
          <w:sz w:val="24"/>
        </w:rPr>
      </w:pPr>
      <w:r w:rsidRPr="00B208AD">
        <w:rPr>
          <w:sz w:val="24"/>
        </w:rPr>
        <w:t>Title:</w:t>
      </w:r>
      <w:bookmarkStart w:id="2" w:name="Title"/>
      <w:bookmarkEnd w:id="2"/>
      <w:r w:rsidRPr="00B208AD">
        <w:rPr>
          <w:sz w:val="24"/>
        </w:rPr>
        <w:tab/>
      </w:r>
      <w:r w:rsidR="007D1EDB" w:rsidRPr="007D1EDB">
        <w:rPr>
          <w:sz w:val="24"/>
        </w:rPr>
        <w:t>Solutions for IAB parent node selection</w:t>
      </w:r>
    </w:p>
    <w:p w14:paraId="08AD6C06" w14:textId="3A10D774" w:rsidR="00D52BF3" w:rsidRPr="00B208AD" w:rsidRDefault="00D52BF3" w:rsidP="00700F24">
      <w:pPr>
        <w:pStyle w:val="TdocHeader2"/>
        <w:spacing w:after="120"/>
        <w:rPr>
          <w:sz w:val="24"/>
        </w:rPr>
      </w:pPr>
      <w:r w:rsidRPr="00B208AD">
        <w:rPr>
          <w:sz w:val="24"/>
        </w:rPr>
        <w:t>Agenda Item:</w:t>
      </w:r>
      <w:r w:rsidRPr="00B208AD">
        <w:rPr>
          <w:sz w:val="24"/>
        </w:rPr>
        <w:tab/>
      </w:r>
      <w:r w:rsidR="00975D57">
        <w:rPr>
          <w:bCs/>
          <w:iCs/>
          <w:sz w:val="24"/>
        </w:rPr>
        <w:t>13.2.1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36E569BD" w:rsidR="00AA7B2F" w:rsidRDefault="00317DDA" w:rsidP="00B71D00">
      <w:pPr>
        <w:jc w:val="both"/>
        <w:rPr>
          <w:lang w:val="en-GB"/>
        </w:rPr>
      </w:pPr>
      <w:r>
        <w:rPr>
          <w:lang w:val="en-GB"/>
        </w:rPr>
        <w:t xml:space="preserve">As part of the </w:t>
      </w:r>
      <w:r w:rsidR="006E3655">
        <w:rPr>
          <w:lang w:val="en-GB"/>
        </w:rPr>
        <w:t xml:space="preserve">Work </w:t>
      </w:r>
      <w:r>
        <w:rPr>
          <w:lang w:val="en-GB"/>
        </w:rPr>
        <w:t xml:space="preserve">Item on Integrated Access and Backhaul for NR [1], </w:t>
      </w:r>
      <w:r w:rsidR="006E3655">
        <w:rPr>
          <w:lang w:val="en-GB"/>
        </w:rPr>
        <w:t xml:space="preserve">the following objectives have been </w:t>
      </w:r>
      <w:r w:rsidR="00C53D8F">
        <w:rPr>
          <w:lang w:val="en-GB"/>
        </w:rPr>
        <w:t>captured:</w:t>
      </w:r>
    </w:p>
    <w:p w14:paraId="1A1635B4" w14:textId="77777777" w:rsidR="00C53D8F" w:rsidRDefault="00C53D8F" w:rsidP="00C53D8F">
      <w:pPr>
        <w:pStyle w:val="maintext"/>
        <w:numPr>
          <w:ilvl w:val="0"/>
          <w:numId w:val="6"/>
        </w:numPr>
        <w:spacing w:line="240" w:lineRule="auto"/>
        <w:ind w:firstLineChars="0"/>
        <w:jc w:val="left"/>
        <w:rPr>
          <w:rFonts w:eastAsia="Times New Roman" w:cs="Times New Roman"/>
          <w:lang w:eastAsia="en-US"/>
        </w:rPr>
      </w:pPr>
      <w:r>
        <w:rPr>
          <w:rFonts w:eastAsia="Times New Roman" w:cs="Times New Roman"/>
          <w:lang w:eastAsia="en-US"/>
        </w:rPr>
        <w:t>Specification of procedures for IAB-node integration and topology adaptation, including [RAN3-led, RAN2]:</w:t>
      </w:r>
    </w:p>
    <w:p w14:paraId="6116FD26" w14:textId="77777777" w:rsidR="00C53D8F" w:rsidRDefault="00C53D8F" w:rsidP="00C53D8F">
      <w:pPr>
        <w:pStyle w:val="maintext"/>
        <w:numPr>
          <w:ilvl w:val="1"/>
          <w:numId w:val="6"/>
        </w:numPr>
        <w:spacing w:line="240" w:lineRule="auto"/>
        <w:ind w:firstLineChars="0"/>
        <w:jc w:val="left"/>
        <w:rPr>
          <w:rFonts w:eastAsia="Times New Roman" w:cs="Times New Roman"/>
          <w:lang w:eastAsia="en-US"/>
        </w:rPr>
      </w:pPr>
      <w:r>
        <w:rPr>
          <w:rFonts w:eastAsia="Times New Roman" w:cs="Times New Roman"/>
          <w:lang w:eastAsia="en-US"/>
        </w:rPr>
        <w:t xml:space="preserve">Procedures for IAB-node integration for SA and NSA modes, including enhancements needed to E-UTRAN for NSA mode. </w:t>
      </w:r>
    </w:p>
    <w:p w14:paraId="49FA94F0" w14:textId="77777777" w:rsidR="00C53D8F" w:rsidRDefault="00C53D8F" w:rsidP="00C53D8F">
      <w:pPr>
        <w:pStyle w:val="maintext"/>
        <w:numPr>
          <w:ilvl w:val="1"/>
          <w:numId w:val="6"/>
        </w:numPr>
        <w:spacing w:line="240" w:lineRule="auto"/>
        <w:ind w:firstLineChars="0"/>
        <w:jc w:val="left"/>
        <w:rPr>
          <w:rFonts w:eastAsia="Times New Roman" w:cs="Times New Roman"/>
          <w:lang w:eastAsia="en-US"/>
        </w:rPr>
      </w:pPr>
      <w:r w:rsidRPr="00D83C0E">
        <w:rPr>
          <w:rFonts w:eastAsia="Times New Roman" w:cs="Times New Roman"/>
          <w:lang w:eastAsia="en-US"/>
        </w:rPr>
        <w:t>Specification of IAB-node migration underneath the same IAB</w:t>
      </w:r>
      <w:r>
        <w:rPr>
          <w:rFonts w:eastAsia="Times New Roman" w:cs="Times New Roman"/>
          <w:lang w:eastAsia="en-US"/>
        </w:rPr>
        <w:t>-d</w:t>
      </w:r>
      <w:r w:rsidRPr="00D83C0E">
        <w:rPr>
          <w:rFonts w:eastAsia="Times New Roman" w:cs="Times New Roman"/>
          <w:lang w:eastAsia="en-US"/>
        </w:rPr>
        <w:t xml:space="preserve">onor (with or without a change of </w:t>
      </w:r>
      <w:r>
        <w:rPr>
          <w:rFonts w:eastAsia="Times New Roman" w:cs="Times New Roman"/>
          <w:lang w:eastAsia="en-US"/>
        </w:rPr>
        <w:t>IAB-</w:t>
      </w:r>
      <w:r w:rsidRPr="00D83C0E">
        <w:rPr>
          <w:rFonts w:eastAsia="Times New Roman" w:cs="Times New Roman"/>
          <w:lang w:eastAsia="en-US"/>
        </w:rPr>
        <w:t>donor DU), and between different IAB</w:t>
      </w:r>
      <w:r>
        <w:rPr>
          <w:rFonts w:eastAsia="Times New Roman" w:cs="Times New Roman"/>
          <w:lang w:eastAsia="en-US"/>
        </w:rPr>
        <w:t>-d</w:t>
      </w:r>
      <w:r w:rsidRPr="00D83C0E">
        <w:rPr>
          <w:rFonts w:eastAsia="Times New Roman" w:cs="Times New Roman"/>
          <w:lang w:eastAsia="en-US"/>
        </w:rPr>
        <w:t>onors.</w:t>
      </w:r>
      <w:r w:rsidRPr="00D83C0E" w:rsidDel="00860979">
        <w:rPr>
          <w:rFonts w:eastAsia="Times New Roman" w:cs="Times New Roman"/>
          <w:lang w:eastAsia="en-US"/>
        </w:rPr>
        <w:t xml:space="preserve"> </w:t>
      </w:r>
      <w:r w:rsidRPr="00D83C0E">
        <w:rPr>
          <w:rFonts w:eastAsia="Times New Roman" w:cs="Times New Roman"/>
          <w:lang w:eastAsia="en-US"/>
        </w:rPr>
        <w:t>Migration of IAB</w:t>
      </w:r>
      <w:r>
        <w:rPr>
          <w:rFonts w:eastAsia="Times New Roman" w:cs="Times New Roman"/>
          <w:lang w:eastAsia="en-US"/>
        </w:rPr>
        <w:t>-</w:t>
      </w:r>
      <w:r w:rsidRPr="00D83C0E">
        <w:rPr>
          <w:rFonts w:eastAsia="Times New Roman" w:cs="Times New Roman"/>
          <w:lang w:eastAsia="en-US"/>
        </w:rPr>
        <w:t>node could be network</w:t>
      </w:r>
      <w:r>
        <w:rPr>
          <w:rFonts w:eastAsia="Times New Roman" w:cs="Times New Roman"/>
          <w:lang w:eastAsia="en-US"/>
        </w:rPr>
        <w:t>-</w:t>
      </w:r>
      <w:r w:rsidRPr="00D83C0E">
        <w:rPr>
          <w:rFonts w:eastAsia="Times New Roman" w:cs="Times New Roman"/>
          <w:lang w:eastAsia="en-US"/>
        </w:rPr>
        <w:t>controlled or could be due to BH RLF.</w:t>
      </w:r>
      <w:r w:rsidDel="00D83C0E">
        <w:rPr>
          <w:rFonts w:eastAsia="Times New Roman" w:cs="Times New Roman"/>
          <w:lang w:eastAsia="en-US"/>
        </w:rPr>
        <w:t xml:space="preserve"> </w:t>
      </w:r>
    </w:p>
    <w:p w14:paraId="2D3097E0" w14:textId="77777777" w:rsidR="00C53D8F" w:rsidRPr="006800BA" w:rsidRDefault="00C53D8F" w:rsidP="00C53D8F">
      <w:pPr>
        <w:pStyle w:val="maintext"/>
        <w:spacing w:line="240" w:lineRule="auto"/>
        <w:ind w:left="1440" w:firstLineChars="0" w:firstLine="0"/>
        <w:jc w:val="left"/>
        <w:rPr>
          <w:rFonts w:eastAsia="Times New Roman" w:cs="Times New Roman"/>
          <w:lang w:eastAsia="en-US"/>
        </w:rPr>
      </w:pPr>
      <w:r w:rsidRPr="001110E6">
        <w:rPr>
          <w:rFonts w:eastAsia="Times New Roman" w:cs="Times New Roman"/>
          <w:lang w:eastAsia="en-US"/>
        </w:rPr>
        <w:t xml:space="preserve">Support for route redundancy and </w:t>
      </w:r>
      <w:r w:rsidRPr="009F1F24">
        <w:rPr>
          <w:rFonts w:eastAsia="Times New Roman" w:cs="Times New Roman"/>
          <w:lang w:eastAsia="en-US"/>
        </w:rPr>
        <w:t>route selection</w:t>
      </w:r>
      <w:r w:rsidRPr="001110E6">
        <w:rPr>
          <w:rFonts w:eastAsia="Times New Roman" w:cs="Times New Roman"/>
          <w:lang w:eastAsia="en-US"/>
        </w:rPr>
        <w:t xml:space="preserve"> based on multi-connectivity </w:t>
      </w:r>
      <w:r w:rsidRPr="009F51D5">
        <w:rPr>
          <w:rFonts w:cs="Times New Roman"/>
        </w:rPr>
        <w:t>(e.g. TR 38.874 clause 9.7)</w:t>
      </w:r>
      <w:r w:rsidRPr="0027621B">
        <w:rPr>
          <w:rFonts w:cs="Times New Roman"/>
          <w:color w:val="000000"/>
        </w:rPr>
        <w:t>,</w:t>
      </w:r>
      <w:r w:rsidRPr="001110E6">
        <w:rPr>
          <w:rFonts w:eastAsia="Times New Roman" w:cs="Times New Roman"/>
          <w:lang w:eastAsia="en-US"/>
        </w:rPr>
        <w:t xml:space="preserve"> leveraging existing NR solutions as well as NR-NR DC</w:t>
      </w:r>
      <w:r w:rsidRPr="001110E6">
        <w:rPr>
          <w:rFonts w:eastAsia="Times New Roman"/>
        </w:rPr>
        <w:t>, without</w:t>
      </w:r>
      <w:r>
        <w:rPr>
          <w:rFonts w:eastAsia="Times New Roman"/>
        </w:rPr>
        <w:t xml:space="preserve"> </w:t>
      </w:r>
      <w:r w:rsidRPr="001110E6">
        <w:rPr>
          <w:rFonts w:eastAsia="Times New Roman" w:cs="Times New Roman"/>
          <w:lang w:eastAsia="en-US"/>
        </w:rPr>
        <w:t>additiona</w:t>
      </w:r>
      <w:r w:rsidRPr="001110E6">
        <w:rPr>
          <w:rFonts w:eastAsia="Times New Roman"/>
        </w:rPr>
        <w:t>l RAN1 work</w:t>
      </w:r>
      <w:r w:rsidRPr="001110E6">
        <w:rPr>
          <w:rFonts w:eastAsia="Times New Roman" w:cs="Times New Roman"/>
          <w:lang w:eastAsia="en-US"/>
        </w:rPr>
        <w:t>. (</w:t>
      </w:r>
      <w:r w:rsidRPr="001110E6">
        <w:rPr>
          <w:rFonts w:eastAsiaTheme="minorEastAsia" w:cs="Times New Roman" w:hint="eastAsia"/>
        </w:rPr>
        <w:t>see NOTE1</w:t>
      </w:r>
      <w:r w:rsidRPr="001110E6">
        <w:rPr>
          <w:rFonts w:eastAsia="Times New Roman" w:cs="Times New Roman"/>
          <w:lang w:eastAsia="en-US"/>
        </w:rPr>
        <w:t>)</w:t>
      </w:r>
      <w:r>
        <w:rPr>
          <w:rFonts w:eastAsia="Times New Roman" w:cs="Times New Roman"/>
          <w:lang w:eastAsia="en-US"/>
        </w:rPr>
        <w:t>.</w:t>
      </w:r>
    </w:p>
    <w:p w14:paraId="686FE11D" w14:textId="77777777" w:rsidR="00F14D2B" w:rsidRDefault="00F14D2B" w:rsidP="00B71D00">
      <w:pPr>
        <w:spacing w:after="0"/>
        <w:ind w:left="720"/>
        <w:jc w:val="both"/>
        <w:rPr>
          <w:bCs/>
        </w:rPr>
      </w:pPr>
    </w:p>
    <w:p w14:paraId="545ECBCC" w14:textId="4D0F3F96" w:rsidR="00C53D8F" w:rsidRDefault="007D3347" w:rsidP="00B71D00">
      <w:pPr>
        <w:spacing w:after="0"/>
        <w:jc w:val="both"/>
        <w:rPr>
          <w:lang w:val="en-GB"/>
        </w:rPr>
      </w:pPr>
      <w:r>
        <w:rPr>
          <w:lang w:val="en-GB"/>
        </w:rPr>
        <w:t>As part of the integration procedure the IAB node needs to select an appropriate parent. The following was captured in the meeting minutes of RAN3#103bis:</w:t>
      </w:r>
    </w:p>
    <w:p w14:paraId="5D073B87" w14:textId="77777777" w:rsidR="007D3347" w:rsidRDefault="007D3347" w:rsidP="00B71D00">
      <w:pPr>
        <w:spacing w:after="0"/>
        <w:jc w:val="both"/>
        <w:rPr>
          <w:lang w:val="en-GB"/>
        </w:rPr>
      </w:pPr>
    </w:p>
    <w:p w14:paraId="5B9278D3" w14:textId="77777777" w:rsidR="007D3347" w:rsidRPr="00313AA4" w:rsidRDefault="007D3347" w:rsidP="007D3347">
      <w:pPr>
        <w:widowControl w:val="0"/>
        <w:spacing w:after="0"/>
        <w:rPr>
          <w:rFonts w:cs="Calibri"/>
          <w:b/>
          <w:color w:val="FF00FF"/>
          <w:sz w:val="18"/>
          <w:szCs w:val="24"/>
        </w:rPr>
      </w:pPr>
      <w:r w:rsidRPr="00313AA4">
        <w:rPr>
          <w:rFonts w:cs="Calibri"/>
          <w:b/>
          <w:color w:val="FF00FF"/>
          <w:sz w:val="18"/>
          <w:szCs w:val="24"/>
        </w:rPr>
        <w:t># 33_ParentNodeSel</w:t>
      </w:r>
    </w:p>
    <w:p w14:paraId="1D321A29" w14:textId="77777777" w:rsidR="007D3347" w:rsidRPr="00313AA4" w:rsidRDefault="007D3347" w:rsidP="007D3347">
      <w:pPr>
        <w:widowControl w:val="0"/>
        <w:spacing w:after="0"/>
        <w:rPr>
          <w:rFonts w:cs="Calibri"/>
          <w:b/>
          <w:color w:val="FF00FF"/>
          <w:sz w:val="18"/>
          <w:szCs w:val="24"/>
        </w:rPr>
      </w:pPr>
      <w:r w:rsidRPr="00313AA4">
        <w:rPr>
          <w:rFonts w:cs="Calibri"/>
          <w:b/>
          <w:color w:val="FF00FF"/>
          <w:sz w:val="18"/>
          <w:szCs w:val="24"/>
        </w:rPr>
        <w:t>-  Selection of parent node: OAM vs. signaling vs. “learning from neighbors’ HO rejection” vs. OAM config of CU with list of IAB-capable cells?</w:t>
      </w:r>
    </w:p>
    <w:p w14:paraId="262252C4" w14:textId="77777777" w:rsidR="007D3347" w:rsidRPr="00313AA4" w:rsidRDefault="007D3347" w:rsidP="007D3347">
      <w:pPr>
        <w:widowControl w:val="0"/>
        <w:spacing w:after="0"/>
        <w:rPr>
          <w:rFonts w:cs="Calibri"/>
          <w:color w:val="000000"/>
          <w:sz w:val="18"/>
          <w:szCs w:val="24"/>
        </w:rPr>
      </w:pPr>
      <w:r w:rsidRPr="00313AA4">
        <w:rPr>
          <w:rFonts w:cs="Calibri"/>
          <w:color w:val="000000"/>
          <w:sz w:val="18"/>
          <w:szCs w:val="24"/>
        </w:rPr>
        <w:t>(CATT)</w:t>
      </w:r>
    </w:p>
    <w:p w14:paraId="0DCDE1B4" w14:textId="2C54E3E5" w:rsidR="007D3347" w:rsidRPr="00313AA4" w:rsidRDefault="007D3347" w:rsidP="007D3347">
      <w:pPr>
        <w:widowControl w:val="0"/>
        <w:spacing w:after="0"/>
        <w:rPr>
          <w:rFonts w:cs="Calibri"/>
          <w:b/>
          <w:color w:val="0000FF"/>
          <w:sz w:val="18"/>
          <w:szCs w:val="24"/>
        </w:rPr>
      </w:pPr>
      <w:r w:rsidRPr="00313AA4">
        <w:rPr>
          <w:rFonts w:cs="Calibri"/>
          <w:color w:val="000000"/>
          <w:sz w:val="18"/>
          <w:szCs w:val="24"/>
        </w:rPr>
        <w:t xml:space="preserve">Summary of offline disc </w:t>
      </w:r>
      <w:hyperlink r:id="rId8" w:history="1">
        <w:r w:rsidRPr="00313AA4">
          <w:rPr>
            <w:rStyle w:val="Hyperlink"/>
            <w:rFonts w:cs="Calibri"/>
            <w:sz w:val="18"/>
            <w:szCs w:val="24"/>
          </w:rPr>
          <w:t>R3-192061</w:t>
        </w:r>
      </w:hyperlink>
      <w:r w:rsidRPr="00313AA4">
        <w:rPr>
          <w:rFonts w:cs="Calibri"/>
          <w:color w:val="000000"/>
          <w:sz w:val="18"/>
          <w:szCs w:val="24"/>
        </w:rPr>
        <w:t xml:space="preserve"> noted</w:t>
      </w:r>
    </w:p>
    <w:p w14:paraId="2E586838" w14:textId="77777777" w:rsidR="007D3347" w:rsidRPr="00313AA4" w:rsidRDefault="007D3347" w:rsidP="007D3347">
      <w:pPr>
        <w:widowControl w:val="0"/>
        <w:spacing w:after="0"/>
        <w:rPr>
          <w:rFonts w:cs="Calibri"/>
          <w:b/>
          <w:color w:val="0000FF"/>
          <w:sz w:val="18"/>
          <w:szCs w:val="24"/>
        </w:rPr>
      </w:pPr>
      <w:r w:rsidRPr="00313AA4">
        <w:rPr>
          <w:rFonts w:cs="Calibri"/>
          <w:b/>
          <w:color w:val="0000FF"/>
          <w:sz w:val="18"/>
          <w:szCs w:val="24"/>
        </w:rPr>
        <w:t>-Option 1, via OAM (pre-configuration)</w:t>
      </w:r>
    </w:p>
    <w:p w14:paraId="10A2FE2B" w14:textId="77777777" w:rsidR="007D3347" w:rsidRPr="00313AA4" w:rsidRDefault="007D3347" w:rsidP="007D3347">
      <w:pPr>
        <w:widowControl w:val="0"/>
        <w:spacing w:after="0"/>
        <w:rPr>
          <w:rFonts w:cs="Calibri"/>
          <w:b/>
          <w:color w:val="0000FF"/>
          <w:sz w:val="18"/>
          <w:szCs w:val="24"/>
        </w:rPr>
      </w:pPr>
      <w:r w:rsidRPr="00313AA4">
        <w:rPr>
          <w:rFonts w:cs="Calibri"/>
          <w:b/>
          <w:color w:val="0000FF"/>
          <w:sz w:val="18"/>
          <w:szCs w:val="24"/>
        </w:rPr>
        <w:t xml:space="preserve">-Option 2, via OAM (Rel-10 relay-like </w:t>
      </w:r>
      <w:proofErr w:type="gramStart"/>
      <w:r w:rsidRPr="00313AA4">
        <w:rPr>
          <w:rFonts w:cs="Calibri"/>
          <w:b/>
          <w:color w:val="0000FF"/>
          <w:sz w:val="18"/>
          <w:szCs w:val="24"/>
        </w:rPr>
        <w:t>way )</w:t>
      </w:r>
      <w:proofErr w:type="gramEnd"/>
      <w:r w:rsidRPr="00313AA4">
        <w:rPr>
          <w:rFonts w:cs="Calibri"/>
          <w:b/>
          <w:color w:val="0000FF"/>
          <w:sz w:val="18"/>
          <w:szCs w:val="24"/>
        </w:rPr>
        <w:t xml:space="preserve"> </w:t>
      </w:r>
    </w:p>
    <w:p w14:paraId="57FD7895" w14:textId="77777777" w:rsidR="007D3347" w:rsidRPr="00313AA4" w:rsidRDefault="007D3347" w:rsidP="007D3347">
      <w:pPr>
        <w:widowControl w:val="0"/>
        <w:spacing w:after="0"/>
        <w:rPr>
          <w:rFonts w:cs="Calibri"/>
          <w:b/>
          <w:color w:val="0000FF"/>
          <w:sz w:val="18"/>
          <w:szCs w:val="24"/>
        </w:rPr>
      </w:pPr>
      <w:r w:rsidRPr="00313AA4">
        <w:rPr>
          <w:rFonts w:cs="Calibri"/>
          <w:b/>
          <w:color w:val="0000FF"/>
          <w:sz w:val="18"/>
          <w:szCs w:val="24"/>
        </w:rPr>
        <w:t>-Option 3, via new signaling, the system info from IAB-DU or IAB-donor</w:t>
      </w:r>
    </w:p>
    <w:p w14:paraId="3207D87A" w14:textId="77777777" w:rsidR="007D3347" w:rsidRPr="00313AA4" w:rsidRDefault="007D3347" w:rsidP="007D3347">
      <w:pPr>
        <w:widowControl w:val="0"/>
        <w:spacing w:after="0"/>
        <w:rPr>
          <w:rFonts w:cs="Calibri"/>
          <w:b/>
          <w:color w:val="0000FF"/>
          <w:sz w:val="18"/>
          <w:szCs w:val="24"/>
        </w:rPr>
      </w:pPr>
      <w:r w:rsidRPr="00313AA4">
        <w:rPr>
          <w:rFonts w:cs="Calibri"/>
          <w:b/>
          <w:color w:val="0000FF"/>
          <w:sz w:val="18"/>
          <w:szCs w:val="24"/>
        </w:rPr>
        <w:t>-Option 4, via handover/</w:t>
      </w:r>
      <w:proofErr w:type="spellStart"/>
      <w:r w:rsidRPr="00313AA4">
        <w:rPr>
          <w:rFonts w:cs="Calibri"/>
          <w:b/>
          <w:color w:val="0000FF"/>
          <w:sz w:val="18"/>
          <w:szCs w:val="24"/>
        </w:rPr>
        <w:t>rediection</w:t>
      </w:r>
      <w:proofErr w:type="spellEnd"/>
      <w:r w:rsidRPr="00313AA4">
        <w:rPr>
          <w:rFonts w:cs="Calibri"/>
          <w:b/>
          <w:color w:val="0000FF"/>
          <w:sz w:val="18"/>
          <w:szCs w:val="24"/>
        </w:rPr>
        <w:t xml:space="preserve"> mechanisms, where IAB-node connects to any cell and then it could be up to CU configuration</w:t>
      </w:r>
    </w:p>
    <w:p w14:paraId="3A9AB159" w14:textId="72088CD2" w:rsidR="007D3347" w:rsidRDefault="007D3347" w:rsidP="007D3347">
      <w:pPr>
        <w:spacing w:after="0"/>
        <w:jc w:val="both"/>
        <w:rPr>
          <w:lang w:val="en-GB"/>
        </w:rPr>
      </w:pPr>
      <w:r w:rsidRPr="00313AA4">
        <w:rPr>
          <w:rFonts w:cs="Calibri"/>
          <w:b/>
          <w:color w:val="0000FF"/>
          <w:sz w:val="18"/>
          <w:szCs w:val="24"/>
        </w:rPr>
        <w:t xml:space="preserve"> To be continued...</w:t>
      </w:r>
    </w:p>
    <w:p w14:paraId="1FCEFBAF" w14:textId="77777777" w:rsidR="004364CC" w:rsidRDefault="004364CC" w:rsidP="00B71D00">
      <w:pPr>
        <w:spacing w:after="0"/>
        <w:jc w:val="both"/>
        <w:rPr>
          <w:lang w:val="en-GB"/>
        </w:rPr>
      </w:pPr>
    </w:p>
    <w:p w14:paraId="7AEF2C38" w14:textId="5730BCD9" w:rsidR="006F1AB8" w:rsidRDefault="00896663" w:rsidP="00B71D00">
      <w:pPr>
        <w:jc w:val="both"/>
        <w:rPr>
          <w:lang w:val="en-GB"/>
        </w:rPr>
      </w:pPr>
      <w:r>
        <w:rPr>
          <w:lang w:val="en-GB"/>
        </w:rPr>
        <w:t xml:space="preserve">This contribution discusses </w:t>
      </w:r>
      <w:r w:rsidR="000B7364">
        <w:rPr>
          <w:lang w:val="en-GB"/>
        </w:rPr>
        <w:t>the</w:t>
      </w:r>
      <w:r w:rsidR="007D3347">
        <w:rPr>
          <w:lang w:val="en-GB"/>
        </w:rPr>
        <w:t xml:space="preserve"> options for parent selection by</w:t>
      </w:r>
      <w:r w:rsidR="00A46FFC">
        <w:rPr>
          <w:lang w:val="en-GB"/>
        </w:rPr>
        <w:t xml:space="preserve"> IAB </w:t>
      </w:r>
      <w:r w:rsidR="000B7364">
        <w:rPr>
          <w:lang w:val="en-GB"/>
        </w:rPr>
        <w:t xml:space="preserve">nodes </w:t>
      </w:r>
      <w:r w:rsidR="007D3347">
        <w:rPr>
          <w:lang w:val="en-GB"/>
        </w:rPr>
        <w:t xml:space="preserve">as part of the </w:t>
      </w:r>
      <w:r w:rsidR="000B7364">
        <w:rPr>
          <w:lang w:val="en-GB"/>
        </w:rPr>
        <w:t xml:space="preserve">network </w:t>
      </w:r>
      <w:r w:rsidR="007D3347">
        <w:rPr>
          <w:lang w:val="en-GB"/>
        </w:rPr>
        <w:t>integration procedure</w:t>
      </w:r>
      <w:r w:rsidR="00FC2F10">
        <w:rPr>
          <w:lang w:val="en-GB"/>
        </w:rPr>
        <w:t>.</w:t>
      </w:r>
    </w:p>
    <w:p w14:paraId="452AE97D" w14:textId="1A4C43B1" w:rsidR="007D3347" w:rsidRDefault="007D3347" w:rsidP="00B71D00">
      <w:pPr>
        <w:jc w:val="both"/>
        <w:rPr>
          <w:lang w:val="en-GB"/>
        </w:rPr>
      </w:pPr>
    </w:p>
    <w:p w14:paraId="7ACDAAA0" w14:textId="77777777" w:rsidR="007D3347" w:rsidRDefault="007D3347" w:rsidP="00B71D00">
      <w:pPr>
        <w:jc w:val="both"/>
        <w:rPr>
          <w:lang w:val="en-GB"/>
        </w:rPr>
      </w:pPr>
    </w:p>
    <w:p w14:paraId="3910AB39" w14:textId="2C29BE18" w:rsidR="006F1AB8" w:rsidRDefault="00C606EA" w:rsidP="00C26A7D">
      <w:pPr>
        <w:pStyle w:val="Heading1"/>
      </w:pPr>
      <w:r>
        <w:lastRenderedPageBreak/>
        <w:t>IAB node parent selection</w:t>
      </w:r>
    </w:p>
    <w:p w14:paraId="09CA73E7" w14:textId="1F75EA3F" w:rsidR="00A8506A" w:rsidRDefault="00F17442" w:rsidP="000B7364">
      <w:pPr>
        <w:rPr>
          <w:rFonts w:ascii="Calibri" w:hAnsi="Calibri"/>
          <w:szCs w:val="22"/>
        </w:rPr>
      </w:pPr>
      <w:r>
        <w:rPr>
          <w:rFonts w:ascii="Calibri" w:hAnsi="Calibri"/>
          <w:szCs w:val="22"/>
        </w:rPr>
        <w:t xml:space="preserve">Figure </w:t>
      </w:r>
      <w:r w:rsidR="00C606EA">
        <w:rPr>
          <w:rFonts w:ascii="Calibri" w:hAnsi="Calibri"/>
          <w:szCs w:val="22"/>
        </w:rPr>
        <w:t>1</w:t>
      </w:r>
      <w:r>
        <w:rPr>
          <w:rFonts w:ascii="Calibri" w:hAnsi="Calibri"/>
          <w:szCs w:val="22"/>
        </w:rPr>
        <w:t xml:space="preserve"> shows </w:t>
      </w:r>
      <w:r w:rsidR="00A8506A">
        <w:rPr>
          <w:rFonts w:ascii="Calibri" w:hAnsi="Calibri"/>
          <w:szCs w:val="22"/>
        </w:rPr>
        <w:t xml:space="preserve">the </w:t>
      </w:r>
      <w:r>
        <w:rPr>
          <w:rFonts w:ascii="Calibri" w:hAnsi="Calibri"/>
          <w:szCs w:val="22"/>
        </w:rPr>
        <w:t>m</w:t>
      </w:r>
      <w:r w:rsidR="00A8506A">
        <w:rPr>
          <w:rFonts w:ascii="Calibri" w:hAnsi="Calibri"/>
          <w:szCs w:val="22"/>
        </w:rPr>
        <w:t>ulti-phase procedure for IAB-node integration</w:t>
      </w:r>
      <w:r>
        <w:rPr>
          <w:rFonts w:ascii="Calibri" w:hAnsi="Calibri"/>
          <w:szCs w:val="22"/>
        </w:rPr>
        <w:t xml:space="preserve"> captured in 38.874 Section 9.3. for SA operation</w:t>
      </w:r>
      <w:r w:rsidR="00ED021E">
        <w:rPr>
          <w:rFonts w:ascii="Calibri" w:hAnsi="Calibri"/>
          <w:szCs w:val="22"/>
        </w:rPr>
        <w:t xml:space="preserve"> [2]</w:t>
      </w:r>
      <w:r w:rsidR="00A8506A">
        <w:rPr>
          <w:rFonts w:ascii="Calibri" w:hAnsi="Calibri"/>
          <w:szCs w:val="22"/>
        </w:rPr>
        <w:t>:</w:t>
      </w:r>
    </w:p>
    <w:p w14:paraId="074BAE1E" w14:textId="18F9D601" w:rsidR="00F17442" w:rsidRDefault="007C0F3A" w:rsidP="00F17442">
      <w:pPr>
        <w:jc w:val="center"/>
      </w:pPr>
      <w:r w:rsidRPr="00355CD2">
        <w:object w:dxaOrig="15376" w:dyaOrig="12945" w14:anchorId="0236B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244.5pt" o:ole="">
            <v:imagedata r:id="rId9" o:title=""/>
          </v:shape>
          <o:OLEObject Type="Embed" ProgID="Visio.Drawing.15" ShapeID="_x0000_i1025" DrawAspect="Content" ObjectID="_1618385132" r:id="rId10"/>
        </w:object>
      </w:r>
    </w:p>
    <w:p w14:paraId="7D637991" w14:textId="15753133" w:rsidR="00F17442" w:rsidRPr="00C27187" w:rsidRDefault="00F17442" w:rsidP="00F17442">
      <w:pPr>
        <w:jc w:val="center"/>
        <w:rPr>
          <w:b/>
        </w:rPr>
      </w:pPr>
      <w:r>
        <w:rPr>
          <w:b/>
        </w:rPr>
        <w:t xml:space="preserve">Figure </w:t>
      </w:r>
      <w:r w:rsidR="00C606EA">
        <w:rPr>
          <w:b/>
        </w:rPr>
        <w:t>1</w:t>
      </w:r>
      <w:r w:rsidRPr="00C27187">
        <w:rPr>
          <w:b/>
        </w:rPr>
        <w:t>. IAB node</w:t>
      </w:r>
      <w:r>
        <w:rPr>
          <w:b/>
        </w:rPr>
        <w:t>’s Integration Procedure (Section 9.3 of 38.874)</w:t>
      </w:r>
    </w:p>
    <w:p w14:paraId="34AC2233" w14:textId="2216A987" w:rsidR="00C53D8F" w:rsidRDefault="00C53D8F" w:rsidP="00C606EA">
      <w:r>
        <w:t>Also, as noted in 38.874</w:t>
      </w:r>
      <w:r w:rsidR="00C606EA">
        <w:t>, the first phase of IAB-node integration includes the following aspects:</w:t>
      </w:r>
    </w:p>
    <w:p w14:paraId="4115929D" w14:textId="77777777" w:rsidR="00C606EA" w:rsidRDefault="00C606EA" w:rsidP="00C606EA">
      <w:pPr>
        <w:pStyle w:val="B1"/>
      </w:pPr>
      <w:r w:rsidRPr="004052EB">
        <w:rPr>
          <w:rFonts w:eastAsia="Malgun Gothic" w:hint="eastAsia"/>
          <w:lang w:eastAsia="ko-KR"/>
        </w:rPr>
        <w:t>1.</w:t>
      </w:r>
      <w:r w:rsidRPr="004052EB">
        <w:rPr>
          <w:rFonts w:eastAsia="Malgun Gothic" w:hint="eastAsia"/>
          <w:lang w:eastAsia="ko-KR"/>
        </w:rPr>
        <w:tab/>
      </w:r>
      <w:r w:rsidRPr="00E35E61">
        <w:t>The IAB-node authenticates with the operator’s network and establishes IP connectivity to reach OAM functionality for OAM configuration</w:t>
      </w:r>
      <w:r w:rsidRPr="00A02E00">
        <w:rPr>
          <w:rFonts w:eastAsia="Malgun Gothic" w:hint="eastAsia"/>
          <w:lang w:eastAsia="ko-KR"/>
        </w:rPr>
        <w:t>:</w:t>
      </w:r>
    </w:p>
    <w:p w14:paraId="73A66ACC" w14:textId="77777777" w:rsidR="00C606EA" w:rsidRPr="00923F2B" w:rsidRDefault="00C606EA" w:rsidP="00C606EA">
      <w:pPr>
        <w:pStyle w:val="B2"/>
      </w:pPr>
      <w:r w:rsidRPr="004052EB">
        <w:rPr>
          <w:rFonts w:eastAsia="Malgun Gothic" w:hint="eastAsia"/>
          <w:lang w:eastAsia="ko-KR"/>
        </w:rPr>
        <w:t>-</w:t>
      </w:r>
      <w:r w:rsidRPr="004052EB">
        <w:rPr>
          <w:rFonts w:eastAsia="Malgun Gothic" w:hint="eastAsia"/>
          <w:lang w:eastAsia="ko-KR"/>
        </w:rPr>
        <w:tab/>
      </w:r>
      <w:r>
        <w:t xml:space="preserve">This phase includes discovery and selection of a serving node, which can be an IAB-donor or another </w:t>
      </w:r>
      <w:r w:rsidRPr="00923F2B">
        <w:t>IAB-node. The IAB-node may retrieve this information, e.g.</w:t>
      </w:r>
      <w:r>
        <w:t xml:space="preserve"> </w:t>
      </w:r>
      <w:r w:rsidRPr="00923F2B">
        <w:t>from OAM or via RAN signaling such as OSI or RRC.</w:t>
      </w:r>
    </w:p>
    <w:p w14:paraId="525C052D" w14:textId="77777777" w:rsidR="00C606EA" w:rsidRDefault="00C606EA" w:rsidP="00C606EA">
      <w:pPr>
        <w:pStyle w:val="B2"/>
      </w:pPr>
      <w:r w:rsidRPr="004052EB">
        <w:rPr>
          <w:rFonts w:eastAsia="Malgun Gothic" w:hint="eastAsia"/>
          <w:lang w:eastAsia="ko-KR"/>
        </w:rPr>
        <w:t>-</w:t>
      </w:r>
      <w:r w:rsidRPr="004052EB">
        <w:rPr>
          <w:rFonts w:eastAsia="Malgun Gothic" w:hint="eastAsia"/>
          <w:lang w:eastAsia="ko-KR"/>
        </w:rPr>
        <w:tab/>
      </w:r>
      <w:r>
        <w:t>This phase further includes setting up connectivity to other RAN nodes and CN.</w:t>
      </w:r>
    </w:p>
    <w:p w14:paraId="2F3F6CEF" w14:textId="77777777" w:rsidR="00C606EA" w:rsidRDefault="00C606EA" w:rsidP="00C606EA">
      <w:pPr>
        <w:pStyle w:val="B2"/>
      </w:pPr>
      <w:r w:rsidRPr="004052EB">
        <w:rPr>
          <w:rFonts w:eastAsia="Malgun Gothic" w:hint="eastAsia"/>
          <w:lang w:eastAsia="ko-KR"/>
        </w:rPr>
        <w:t>-</w:t>
      </w:r>
      <w:r w:rsidRPr="004052EB">
        <w:rPr>
          <w:rFonts w:eastAsia="Malgun Gothic" w:hint="eastAsia"/>
          <w:lang w:eastAsia="ko-KR"/>
        </w:rPr>
        <w:tab/>
      </w:r>
      <w:r>
        <w:t>This phase involves the MT function on the IAB-node.</w:t>
      </w:r>
    </w:p>
    <w:p w14:paraId="5B93684F" w14:textId="555BF474" w:rsidR="00C606EA" w:rsidRDefault="00C606EA" w:rsidP="00C606EA">
      <w:pPr>
        <w:rPr>
          <w:sz w:val="24"/>
          <w:szCs w:val="24"/>
        </w:rPr>
      </w:pPr>
    </w:p>
    <w:p w14:paraId="43BDFA21" w14:textId="41278453" w:rsidR="0040650E" w:rsidRDefault="0040650E" w:rsidP="00C606EA">
      <w:pPr>
        <w:rPr>
          <w:sz w:val="24"/>
          <w:szCs w:val="24"/>
        </w:rPr>
      </w:pPr>
      <w:r>
        <w:rPr>
          <w:sz w:val="24"/>
          <w:szCs w:val="24"/>
        </w:rPr>
        <w:t>As noted in the introduction, multiple options have been considered for discovery and selection of a serving parent node:</w:t>
      </w:r>
    </w:p>
    <w:p w14:paraId="3764230C" w14:textId="665E9815" w:rsidR="007C0F3A" w:rsidRPr="007C0F3A" w:rsidRDefault="007C0F3A" w:rsidP="007C0F3A">
      <w:pPr>
        <w:ind w:left="720"/>
        <w:rPr>
          <w:sz w:val="24"/>
          <w:szCs w:val="24"/>
        </w:rPr>
      </w:pPr>
      <w:r w:rsidRPr="007C0F3A">
        <w:rPr>
          <w:sz w:val="24"/>
          <w:szCs w:val="24"/>
        </w:rPr>
        <w:t>Option 1, via OAM (pre-configuration)</w:t>
      </w:r>
    </w:p>
    <w:p w14:paraId="17A14A78" w14:textId="63C155A5" w:rsidR="007C0F3A" w:rsidRPr="007C0F3A" w:rsidRDefault="007C0F3A" w:rsidP="007C0F3A">
      <w:pPr>
        <w:ind w:left="720"/>
        <w:rPr>
          <w:sz w:val="24"/>
          <w:szCs w:val="24"/>
        </w:rPr>
      </w:pPr>
      <w:r w:rsidRPr="007C0F3A">
        <w:rPr>
          <w:sz w:val="24"/>
          <w:szCs w:val="24"/>
        </w:rPr>
        <w:t xml:space="preserve">Option 2, via OAM (Rel-10 relay-like way) </w:t>
      </w:r>
    </w:p>
    <w:p w14:paraId="21B29F88" w14:textId="7389EB9C" w:rsidR="007C0F3A" w:rsidRPr="007C0F3A" w:rsidRDefault="007C0F3A" w:rsidP="007C0F3A">
      <w:pPr>
        <w:ind w:left="720"/>
        <w:rPr>
          <w:sz w:val="24"/>
          <w:szCs w:val="24"/>
        </w:rPr>
      </w:pPr>
      <w:r w:rsidRPr="007C0F3A">
        <w:rPr>
          <w:sz w:val="24"/>
          <w:szCs w:val="24"/>
        </w:rPr>
        <w:t>Option 3, via new signaling, the system info from IAB-DU or IAB-donor</w:t>
      </w:r>
    </w:p>
    <w:p w14:paraId="5C9EF840" w14:textId="3A2C0031" w:rsidR="007C0F3A" w:rsidRPr="007C0F3A" w:rsidRDefault="007C0F3A" w:rsidP="007C0F3A">
      <w:pPr>
        <w:ind w:left="720"/>
        <w:rPr>
          <w:sz w:val="24"/>
          <w:szCs w:val="24"/>
        </w:rPr>
      </w:pPr>
      <w:r w:rsidRPr="007C0F3A">
        <w:rPr>
          <w:sz w:val="24"/>
          <w:szCs w:val="24"/>
        </w:rPr>
        <w:t>Option 4, via handover/redi</w:t>
      </w:r>
      <w:r>
        <w:rPr>
          <w:sz w:val="24"/>
          <w:szCs w:val="24"/>
        </w:rPr>
        <w:t>r</w:t>
      </w:r>
      <w:r w:rsidRPr="007C0F3A">
        <w:rPr>
          <w:sz w:val="24"/>
          <w:szCs w:val="24"/>
        </w:rPr>
        <w:t>ection mechanisms, where IAB-node connects to any cell and then it could be up to CU configuration</w:t>
      </w:r>
    </w:p>
    <w:p w14:paraId="240C39B9" w14:textId="6A348F28" w:rsidR="0040650E" w:rsidRPr="00AD4EDB" w:rsidRDefault="007C0F3A" w:rsidP="007C0F3A">
      <w:pPr>
        <w:rPr>
          <w:sz w:val="24"/>
          <w:szCs w:val="24"/>
        </w:rPr>
      </w:pPr>
      <w:r>
        <w:rPr>
          <w:sz w:val="24"/>
          <w:szCs w:val="24"/>
        </w:rPr>
        <w:t>In this section we discuss the tradeoff of the different options.</w:t>
      </w:r>
    </w:p>
    <w:p w14:paraId="56CC3679" w14:textId="65E32EA0" w:rsidR="000E1C7E" w:rsidRDefault="000E1C7E" w:rsidP="00485C14">
      <w:pPr>
        <w:spacing w:after="0"/>
        <w:jc w:val="both"/>
        <w:rPr>
          <w:b/>
          <w:szCs w:val="22"/>
        </w:rPr>
      </w:pPr>
    </w:p>
    <w:p w14:paraId="5780A4DD" w14:textId="6A204765" w:rsidR="00C53D8F" w:rsidRDefault="007C0F3A" w:rsidP="00485C14">
      <w:pPr>
        <w:spacing w:after="0"/>
        <w:jc w:val="both"/>
        <w:rPr>
          <w:szCs w:val="22"/>
        </w:rPr>
      </w:pPr>
      <w:r>
        <w:rPr>
          <w:szCs w:val="22"/>
        </w:rPr>
        <w:t>OAM</w:t>
      </w:r>
      <w:r w:rsidR="003C76E7">
        <w:rPr>
          <w:szCs w:val="22"/>
        </w:rPr>
        <w:t>-</w:t>
      </w:r>
      <w:r>
        <w:rPr>
          <w:szCs w:val="22"/>
        </w:rPr>
        <w:t xml:space="preserve">based options (Option 1 and Option 2) are attractive </w:t>
      </w:r>
      <w:proofErr w:type="gramStart"/>
      <w:r>
        <w:rPr>
          <w:szCs w:val="22"/>
        </w:rPr>
        <w:t>due to the fact that</w:t>
      </w:r>
      <w:proofErr w:type="gramEnd"/>
      <w:r>
        <w:rPr>
          <w:szCs w:val="22"/>
        </w:rPr>
        <w:t xml:space="preserve"> they are transparent to the Ran and avoid any latency in setup in case the IAB node is allowed to autonomously connect to a parent node which may not be suitable from either an IAB capability or desired topology perspective. However, these methods assume a significant amount of pre-planning by an operator to know which parent node should be selected by a newly deployed IAB node, both in terms of radio conditions at the site (assuming max RSRP is one metric used for parent selection) and impact on the existing topology from load and resource partitioning perspectives.  This may be feasible in case of small-scale IAB deployments in limited geographic </w:t>
      </w:r>
      <w:proofErr w:type="gramStart"/>
      <w:r>
        <w:rPr>
          <w:szCs w:val="22"/>
        </w:rPr>
        <w:t>areas, but</w:t>
      </w:r>
      <w:proofErr w:type="gramEnd"/>
      <w:r>
        <w:rPr>
          <w:szCs w:val="22"/>
        </w:rPr>
        <w:t xml:space="preserve"> does not seem to be a scalable solution for dense IAB deployments (required for effective </w:t>
      </w:r>
      <w:proofErr w:type="spellStart"/>
      <w:r>
        <w:rPr>
          <w:szCs w:val="22"/>
        </w:rPr>
        <w:t>mmW</w:t>
      </w:r>
      <w:proofErr w:type="spellEnd"/>
      <w:r>
        <w:rPr>
          <w:szCs w:val="22"/>
        </w:rPr>
        <w:t xml:space="preserve"> coverage and capacity). </w:t>
      </w:r>
      <w:proofErr w:type="gramStart"/>
      <w:r>
        <w:rPr>
          <w:szCs w:val="22"/>
        </w:rPr>
        <w:t>Also</w:t>
      </w:r>
      <w:proofErr w:type="gramEnd"/>
      <w:r>
        <w:rPr>
          <w:szCs w:val="22"/>
        </w:rPr>
        <w:t xml:space="preserve"> OAM approaches limit the ability for the donor CU to manage and update the topology even semi-dynamically, as any change in the topology needs to be sent to the OAM </w:t>
      </w:r>
      <w:r w:rsidR="003C76E7">
        <w:rPr>
          <w:szCs w:val="22"/>
        </w:rPr>
        <w:t>to update the parent node list which cannot be done in real-time. As a result, this approach is further not forward compatible to support mobile IAB nodes in future releases.</w:t>
      </w:r>
    </w:p>
    <w:p w14:paraId="6AEC9FC9" w14:textId="12BAD018" w:rsidR="0053337C" w:rsidRDefault="0053337C" w:rsidP="00485C14">
      <w:pPr>
        <w:spacing w:after="0"/>
        <w:jc w:val="both"/>
        <w:rPr>
          <w:szCs w:val="22"/>
        </w:rPr>
      </w:pPr>
    </w:p>
    <w:p w14:paraId="7A60CB44" w14:textId="015BCA39" w:rsidR="0053337C" w:rsidRPr="00576F0D" w:rsidRDefault="00576F0D" w:rsidP="00485C14">
      <w:pPr>
        <w:spacing w:after="0"/>
        <w:jc w:val="both"/>
        <w:rPr>
          <w:b/>
          <w:szCs w:val="22"/>
        </w:rPr>
      </w:pPr>
      <w:r w:rsidRPr="00576F0D">
        <w:rPr>
          <w:b/>
          <w:szCs w:val="22"/>
        </w:rPr>
        <w:t xml:space="preserve">Observation 1: </w:t>
      </w:r>
      <w:r w:rsidR="003C76E7">
        <w:rPr>
          <w:b/>
          <w:szCs w:val="22"/>
        </w:rPr>
        <w:t>OAM-based options (Option 1 and Option 2) are very restrictive in terms of support for topology adaptation, lack scalability, and require significant deployment planning efforts in case of dense IAB deployments.</w:t>
      </w:r>
    </w:p>
    <w:p w14:paraId="648929CD" w14:textId="77777777" w:rsidR="0053337C" w:rsidRDefault="0053337C" w:rsidP="00485C14">
      <w:pPr>
        <w:spacing w:after="0"/>
        <w:jc w:val="both"/>
        <w:rPr>
          <w:szCs w:val="22"/>
        </w:rPr>
      </w:pPr>
    </w:p>
    <w:p w14:paraId="6CFF58E3" w14:textId="7731D701" w:rsidR="0053337C" w:rsidRDefault="00E85E67" w:rsidP="00485C14">
      <w:pPr>
        <w:spacing w:after="0"/>
        <w:jc w:val="both"/>
        <w:rPr>
          <w:szCs w:val="22"/>
        </w:rPr>
      </w:pPr>
      <w:r>
        <w:rPr>
          <w:szCs w:val="22"/>
        </w:rPr>
        <w:t>Option 3 is another</w:t>
      </w:r>
      <w:r w:rsidR="00B206AD">
        <w:rPr>
          <w:szCs w:val="22"/>
        </w:rPr>
        <w:t xml:space="preserve"> alternative</w:t>
      </w:r>
      <w:r>
        <w:rPr>
          <w:szCs w:val="22"/>
        </w:rPr>
        <w:t xml:space="preserve">, where </w:t>
      </w:r>
      <w:r w:rsidR="00B206AD">
        <w:rPr>
          <w:szCs w:val="22"/>
        </w:rPr>
        <w:t xml:space="preserve">the topology and parent selection information </w:t>
      </w:r>
      <w:proofErr w:type="gramStart"/>
      <w:r>
        <w:rPr>
          <w:szCs w:val="22"/>
        </w:rPr>
        <w:t>is</w:t>
      </w:r>
      <w:proofErr w:type="gramEnd"/>
      <w:r>
        <w:rPr>
          <w:szCs w:val="22"/>
        </w:rPr>
        <w:t xml:space="preserve"> provided </w:t>
      </w:r>
      <w:r w:rsidR="00B206AD">
        <w:rPr>
          <w:szCs w:val="22"/>
        </w:rPr>
        <w:t xml:space="preserve">via RAN signaling, for example </w:t>
      </w:r>
      <w:r>
        <w:rPr>
          <w:szCs w:val="22"/>
        </w:rPr>
        <w:t xml:space="preserve">using </w:t>
      </w:r>
      <w:r w:rsidR="00B206AD">
        <w:rPr>
          <w:szCs w:val="22"/>
        </w:rPr>
        <w:t>an IAB-specific SIB message which is b</w:t>
      </w:r>
      <w:r>
        <w:rPr>
          <w:szCs w:val="22"/>
        </w:rPr>
        <w:t>roadcasted</w:t>
      </w:r>
      <w:r w:rsidR="0053337C">
        <w:rPr>
          <w:szCs w:val="22"/>
        </w:rPr>
        <w:t xml:space="preserve"> to the IAB MTs performing initial access</w:t>
      </w:r>
      <w:r>
        <w:rPr>
          <w:szCs w:val="22"/>
        </w:rPr>
        <w:t xml:space="preserve">. </w:t>
      </w:r>
      <w:r w:rsidR="00BA5094">
        <w:rPr>
          <w:szCs w:val="22"/>
        </w:rPr>
        <w:t xml:space="preserve">A benefit of this option is that it enables IAB node performing initial access for the first time </w:t>
      </w:r>
      <w:r w:rsidR="008E5422">
        <w:rPr>
          <w:szCs w:val="22"/>
        </w:rPr>
        <w:t>to determine suitable candidate parents before connecting to the network and can avoid connecting to a suboptimal parent node. However, the overhead of the system information needs to be taken into account considering that IAB nodes will not be entering the network as frequently as UEs and in addition since the topology map is broadcasted it requires being updated in case of topology changes and also a non-trivial amount of planning effort since like Option 1 or 2 the optimal candidate nodes need to be determined before the IAB node is deployed. From that perspective if Option 3 is supported it should be optional signaling and not mandated for IAB node integration.</w:t>
      </w:r>
    </w:p>
    <w:p w14:paraId="4AADCEC0" w14:textId="77777777" w:rsidR="008E5422" w:rsidRDefault="008E5422" w:rsidP="008E5422">
      <w:pPr>
        <w:spacing w:after="0"/>
        <w:jc w:val="both"/>
        <w:rPr>
          <w:b/>
          <w:szCs w:val="22"/>
        </w:rPr>
      </w:pPr>
    </w:p>
    <w:p w14:paraId="2C1CC92A" w14:textId="33D3CA3A" w:rsidR="008E5422" w:rsidRDefault="008E5422" w:rsidP="008E5422">
      <w:pPr>
        <w:spacing w:after="0"/>
        <w:jc w:val="both"/>
        <w:rPr>
          <w:b/>
          <w:szCs w:val="22"/>
        </w:rPr>
      </w:pPr>
      <w:r w:rsidRPr="00576F0D">
        <w:rPr>
          <w:b/>
          <w:szCs w:val="22"/>
        </w:rPr>
        <w:t xml:space="preserve">Observation </w:t>
      </w:r>
      <w:r>
        <w:rPr>
          <w:b/>
          <w:szCs w:val="22"/>
        </w:rPr>
        <w:t>2</w:t>
      </w:r>
      <w:r w:rsidRPr="00576F0D">
        <w:rPr>
          <w:b/>
          <w:szCs w:val="22"/>
        </w:rPr>
        <w:t xml:space="preserve">: </w:t>
      </w:r>
      <w:r>
        <w:rPr>
          <w:b/>
          <w:szCs w:val="22"/>
        </w:rPr>
        <w:t xml:space="preserve">System-information broadcast signaling (Option 3) </w:t>
      </w:r>
      <w:r w:rsidR="005C2497">
        <w:rPr>
          <w:b/>
          <w:szCs w:val="22"/>
        </w:rPr>
        <w:t xml:space="preserve">avoids suboptimal initial parent </w:t>
      </w:r>
      <w:proofErr w:type="gramStart"/>
      <w:r w:rsidR="005C2497">
        <w:rPr>
          <w:b/>
          <w:szCs w:val="22"/>
        </w:rPr>
        <w:t>selection, but</w:t>
      </w:r>
      <w:proofErr w:type="gramEnd"/>
      <w:r w:rsidR="005C2497">
        <w:rPr>
          <w:b/>
          <w:szCs w:val="22"/>
        </w:rPr>
        <w:t xml:space="preserve"> </w:t>
      </w:r>
      <w:r>
        <w:rPr>
          <w:b/>
          <w:szCs w:val="22"/>
        </w:rPr>
        <w:t xml:space="preserve">may also limit topology adaptation flexibility and </w:t>
      </w:r>
      <w:r w:rsidR="005C2497">
        <w:rPr>
          <w:b/>
          <w:szCs w:val="22"/>
        </w:rPr>
        <w:t>requires additional</w:t>
      </w:r>
      <w:r>
        <w:rPr>
          <w:b/>
          <w:szCs w:val="22"/>
        </w:rPr>
        <w:t xml:space="preserve"> deployment planning effort.</w:t>
      </w:r>
    </w:p>
    <w:p w14:paraId="5F01F47A" w14:textId="690CCB41" w:rsidR="005C2497" w:rsidRDefault="005C2497" w:rsidP="008E5422">
      <w:pPr>
        <w:spacing w:after="0"/>
        <w:jc w:val="both"/>
        <w:rPr>
          <w:b/>
          <w:szCs w:val="22"/>
        </w:rPr>
      </w:pPr>
    </w:p>
    <w:p w14:paraId="2ADE5BC6" w14:textId="7A1213CF" w:rsidR="005C2497" w:rsidRPr="005C2497" w:rsidRDefault="005C2497" w:rsidP="008E5422">
      <w:pPr>
        <w:spacing w:after="0"/>
        <w:jc w:val="both"/>
        <w:rPr>
          <w:szCs w:val="22"/>
        </w:rPr>
      </w:pPr>
      <w:r>
        <w:rPr>
          <w:szCs w:val="22"/>
        </w:rPr>
        <w:t xml:space="preserve">Option 4 does not rely on any network assistance information and instead is the simplest option since the IAB node MT acts a normal UE and only after the connection is established does the topology management function at the Donor CU move the IAB node to the desired parent node via a mobility event (e.g. HO or SCG change). Depending on the number of non-IAB supporting base stations in the deployment area, this could result in the IAB node MT likely connecting to a suboptimal serving cell initially, however it is questionable if that is a typical scenario as it is very likely that IAB nodes will be initially deployed in areas where existing NR base stations are not </w:t>
      </w:r>
      <w:proofErr w:type="gramStart"/>
      <w:r>
        <w:rPr>
          <w:szCs w:val="22"/>
        </w:rPr>
        <w:t>deployed</w:t>
      </w:r>
      <w:proofErr w:type="gramEnd"/>
      <w:r>
        <w:rPr>
          <w:szCs w:val="22"/>
        </w:rPr>
        <w:t xml:space="preserve"> and wired nodes will be sparse. In </w:t>
      </w:r>
      <w:proofErr w:type="gramStart"/>
      <w:r>
        <w:rPr>
          <w:szCs w:val="22"/>
        </w:rPr>
        <w:t>addition</w:t>
      </w:r>
      <w:proofErr w:type="gramEnd"/>
      <w:r>
        <w:rPr>
          <w:szCs w:val="22"/>
        </w:rPr>
        <w:t xml:space="preserve"> the architecture selected for IAB in Rel-16 is very aligned with the existing regular CU/DU architecture making upgrades of regular base stations to donor nodes straightforward. In addition, Option 4 does not require any significant network planning efforts as the IAB node can connect to any cell and the topology management function at the Donor CU can dynamically and flexibly determine the optimal parent node for the new IAB node. Any changes in topology do not impact any other nodes or require updated signaling as well. Given that IAB nodes will not perform initial access from a power ON state very frequently, the potential for additional latency with Option 4 seems to be acceptable </w:t>
      </w:r>
      <w:r w:rsidR="007E330D">
        <w:rPr>
          <w:szCs w:val="22"/>
        </w:rPr>
        <w:t>to achieve a much simpler deployment model and topology adaptation flexibility.</w:t>
      </w:r>
      <w:r>
        <w:rPr>
          <w:szCs w:val="22"/>
        </w:rPr>
        <w:t xml:space="preserve"> </w:t>
      </w:r>
    </w:p>
    <w:p w14:paraId="4E1229F6" w14:textId="77777777" w:rsidR="008E5422" w:rsidRDefault="008E5422" w:rsidP="00485C14">
      <w:pPr>
        <w:spacing w:after="0"/>
        <w:jc w:val="both"/>
        <w:rPr>
          <w:szCs w:val="22"/>
        </w:rPr>
      </w:pPr>
    </w:p>
    <w:p w14:paraId="76731820" w14:textId="7B943BFD" w:rsidR="005C2497" w:rsidRDefault="005C2497" w:rsidP="005C2497">
      <w:pPr>
        <w:spacing w:after="0"/>
        <w:jc w:val="both"/>
        <w:rPr>
          <w:b/>
          <w:szCs w:val="22"/>
        </w:rPr>
      </w:pPr>
      <w:r w:rsidRPr="00576F0D">
        <w:rPr>
          <w:b/>
          <w:szCs w:val="22"/>
        </w:rPr>
        <w:t xml:space="preserve">Observation </w:t>
      </w:r>
      <w:r>
        <w:rPr>
          <w:b/>
          <w:szCs w:val="22"/>
        </w:rPr>
        <w:t>3</w:t>
      </w:r>
      <w:r w:rsidRPr="00576F0D">
        <w:rPr>
          <w:b/>
          <w:szCs w:val="22"/>
        </w:rPr>
        <w:t xml:space="preserve">: </w:t>
      </w:r>
      <w:r>
        <w:rPr>
          <w:b/>
          <w:szCs w:val="22"/>
        </w:rPr>
        <w:t>Option 4 does not require any additional deployment planning effort and supports the most flexibility for dynamic topology adaptation at the Donor CU.</w:t>
      </w:r>
    </w:p>
    <w:p w14:paraId="41E2F27C" w14:textId="0DCBA28F" w:rsidR="00BA5094" w:rsidRDefault="00BA5094" w:rsidP="00485C14">
      <w:pPr>
        <w:spacing w:after="0"/>
        <w:jc w:val="both"/>
        <w:rPr>
          <w:szCs w:val="22"/>
        </w:rPr>
      </w:pPr>
    </w:p>
    <w:p w14:paraId="55EDF1B6" w14:textId="77777777" w:rsidR="00D269E0" w:rsidRDefault="00D269E0" w:rsidP="00485C14">
      <w:pPr>
        <w:spacing w:after="0"/>
        <w:jc w:val="both"/>
        <w:rPr>
          <w:szCs w:val="22"/>
        </w:rPr>
      </w:pPr>
      <w:r>
        <w:rPr>
          <w:szCs w:val="22"/>
        </w:rPr>
        <w:lastRenderedPageBreak/>
        <w:t>Based on these observations, the following proposal is made:</w:t>
      </w:r>
    </w:p>
    <w:p w14:paraId="11DF8A89" w14:textId="77777777" w:rsidR="00D269E0" w:rsidRDefault="00D269E0" w:rsidP="00485C14">
      <w:pPr>
        <w:spacing w:after="0"/>
        <w:jc w:val="both"/>
        <w:rPr>
          <w:szCs w:val="22"/>
        </w:rPr>
      </w:pPr>
    </w:p>
    <w:p w14:paraId="5827FA13" w14:textId="2D4799F6" w:rsidR="007E330D" w:rsidRPr="00D269E0" w:rsidRDefault="00D269E0" w:rsidP="00485C14">
      <w:pPr>
        <w:spacing w:after="0"/>
        <w:jc w:val="both"/>
        <w:rPr>
          <w:b/>
          <w:szCs w:val="22"/>
        </w:rPr>
      </w:pPr>
      <w:r>
        <w:rPr>
          <w:b/>
          <w:szCs w:val="22"/>
        </w:rPr>
        <w:t xml:space="preserve">Proposal: </w:t>
      </w:r>
      <w:r w:rsidRPr="00D269E0">
        <w:rPr>
          <w:b/>
          <w:szCs w:val="22"/>
        </w:rPr>
        <w:t xml:space="preserve">Option 4 should be taken as the baseline method for parent selection in Rel-16. Support </w:t>
      </w:r>
      <w:r w:rsidR="007F19C9">
        <w:rPr>
          <w:b/>
          <w:szCs w:val="22"/>
        </w:rPr>
        <w:t xml:space="preserve">for </w:t>
      </w:r>
      <w:bookmarkStart w:id="3" w:name="_GoBack"/>
      <w:bookmarkEnd w:id="3"/>
      <w:r w:rsidRPr="00D269E0">
        <w:rPr>
          <w:b/>
          <w:szCs w:val="22"/>
        </w:rPr>
        <w:t>OAM-based or system-information based approaches to provide assistance information for parent selection can be considered</w:t>
      </w:r>
      <w:r>
        <w:rPr>
          <w:b/>
          <w:szCs w:val="22"/>
        </w:rPr>
        <w:t xml:space="preserve"> as an optional feature, but not mandatory for IAB</w:t>
      </w:r>
      <w:r w:rsidRPr="00D269E0">
        <w:rPr>
          <w:b/>
          <w:szCs w:val="22"/>
        </w:rPr>
        <w:t>.</w:t>
      </w:r>
    </w:p>
    <w:p w14:paraId="70C82586" w14:textId="6A5BE23B" w:rsidR="008D04DC" w:rsidRDefault="007C3145" w:rsidP="008D04DC">
      <w:pPr>
        <w:pStyle w:val="Heading1"/>
      </w:pPr>
      <w:r>
        <w:t>Conclusion</w:t>
      </w:r>
    </w:p>
    <w:p w14:paraId="3350F057" w14:textId="419BB716" w:rsidR="00D76B79" w:rsidRDefault="00A7768F" w:rsidP="00A16A36">
      <w:pPr>
        <w:jc w:val="both"/>
        <w:rPr>
          <w:lang w:val="en-GB"/>
        </w:rPr>
      </w:pPr>
      <w:r>
        <w:rPr>
          <w:lang w:val="en-GB"/>
        </w:rPr>
        <w:t xml:space="preserve">In this </w:t>
      </w:r>
      <w:r w:rsidR="00D43FA6">
        <w:rPr>
          <w:lang w:val="en-GB"/>
        </w:rPr>
        <w:t>contribution,</w:t>
      </w:r>
      <w:r>
        <w:rPr>
          <w:lang w:val="en-GB"/>
        </w:rPr>
        <w:t xml:space="preserve"> </w:t>
      </w:r>
      <w:r w:rsidR="00A63066">
        <w:rPr>
          <w:lang w:val="en-GB"/>
        </w:rPr>
        <w:t xml:space="preserve">we </w:t>
      </w:r>
      <w:r w:rsidR="007E330D">
        <w:rPr>
          <w:lang w:val="en-GB"/>
        </w:rPr>
        <w:t>compare different options for IAB node parent selection</w:t>
      </w:r>
      <w:r w:rsidR="00ED021E">
        <w:rPr>
          <w:lang w:val="en-GB"/>
        </w:rPr>
        <w:t>,</w:t>
      </w:r>
      <w:r w:rsidR="00576F0D">
        <w:rPr>
          <w:lang w:val="en-GB"/>
        </w:rPr>
        <w:t xml:space="preserve"> and</w:t>
      </w:r>
      <w:r w:rsidR="00ED021E">
        <w:rPr>
          <w:lang w:val="en-GB"/>
        </w:rPr>
        <w:t xml:space="preserve"> the following </w:t>
      </w:r>
      <w:r w:rsidR="009B7D4F">
        <w:rPr>
          <w:lang w:val="en-GB"/>
        </w:rPr>
        <w:t>observation</w:t>
      </w:r>
      <w:r w:rsidR="007E330D">
        <w:rPr>
          <w:lang w:val="en-GB"/>
        </w:rPr>
        <w:t>s</w:t>
      </w:r>
      <w:r w:rsidR="009B7D4F">
        <w:rPr>
          <w:lang w:val="en-GB"/>
        </w:rPr>
        <w:t xml:space="preserve"> and </w:t>
      </w:r>
      <w:r w:rsidR="00ED021E">
        <w:rPr>
          <w:lang w:val="en-GB"/>
        </w:rPr>
        <w:t xml:space="preserve">proposal </w:t>
      </w:r>
      <w:r w:rsidR="009B7D4F">
        <w:rPr>
          <w:lang w:val="en-GB"/>
        </w:rPr>
        <w:t xml:space="preserve">are </w:t>
      </w:r>
      <w:r w:rsidR="00ED021E">
        <w:rPr>
          <w:lang w:val="en-GB"/>
        </w:rPr>
        <w:t>made:</w:t>
      </w:r>
    </w:p>
    <w:p w14:paraId="1F49AB5F" w14:textId="5E9D2DEC" w:rsidR="00E85E67" w:rsidRDefault="00E85E67" w:rsidP="00E85E67">
      <w:pPr>
        <w:spacing w:after="0"/>
        <w:jc w:val="both"/>
        <w:rPr>
          <w:b/>
          <w:szCs w:val="22"/>
        </w:rPr>
      </w:pPr>
      <w:r w:rsidRPr="00576F0D">
        <w:rPr>
          <w:b/>
          <w:szCs w:val="22"/>
        </w:rPr>
        <w:t xml:space="preserve">Observation 1: </w:t>
      </w:r>
      <w:r>
        <w:rPr>
          <w:b/>
          <w:szCs w:val="22"/>
        </w:rPr>
        <w:t>OAM-based options (Option 1 and Option 2) are very restrictive in terms of support for topology adaptation, lack scalability, and require significant deployment planning efforts in case of dense IAB deployments.</w:t>
      </w:r>
    </w:p>
    <w:p w14:paraId="38046C2B" w14:textId="77777777" w:rsidR="007E330D" w:rsidRDefault="007E330D" w:rsidP="007E330D">
      <w:pPr>
        <w:spacing w:after="0"/>
        <w:jc w:val="both"/>
        <w:rPr>
          <w:b/>
          <w:szCs w:val="22"/>
        </w:rPr>
      </w:pPr>
    </w:p>
    <w:p w14:paraId="0BA5BB3D" w14:textId="700CD997" w:rsidR="007E330D" w:rsidRDefault="007E330D" w:rsidP="007E330D">
      <w:pPr>
        <w:spacing w:after="0"/>
        <w:jc w:val="both"/>
        <w:rPr>
          <w:b/>
          <w:szCs w:val="22"/>
        </w:rPr>
      </w:pPr>
      <w:r w:rsidRPr="00576F0D">
        <w:rPr>
          <w:b/>
          <w:szCs w:val="22"/>
        </w:rPr>
        <w:t xml:space="preserve">Observation </w:t>
      </w:r>
      <w:r>
        <w:rPr>
          <w:b/>
          <w:szCs w:val="22"/>
        </w:rPr>
        <w:t>2</w:t>
      </w:r>
      <w:r w:rsidRPr="00576F0D">
        <w:rPr>
          <w:b/>
          <w:szCs w:val="22"/>
        </w:rPr>
        <w:t xml:space="preserve">: </w:t>
      </w:r>
      <w:r>
        <w:rPr>
          <w:b/>
          <w:szCs w:val="22"/>
        </w:rPr>
        <w:t xml:space="preserve">System-information broadcast signaling (Option 3) avoids suboptimal initial parent </w:t>
      </w:r>
      <w:proofErr w:type="gramStart"/>
      <w:r>
        <w:rPr>
          <w:b/>
          <w:szCs w:val="22"/>
        </w:rPr>
        <w:t>selection, but</w:t>
      </w:r>
      <w:proofErr w:type="gramEnd"/>
      <w:r>
        <w:rPr>
          <w:b/>
          <w:szCs w:val="22"/>
        </w:rPr>
        <w:t xml:space="preserve"> may also limit topology adaptation flexibility and requires additional deployment planning effort.</w:t>
      </w:r>
    </w:p>
    <w:p w14:paraId="4EF79897" w14:textId="77777777" w:rsidR="007E330D" w:rsidRPr="00576F0D" w:rsidRDefault="007E330D" w:rsidP="00E85E67">
      <w:pPr>
        <w:spacing w:after="0"/>
        <w:jc w:val="both"/>
        <w:rPr>
          <w:b/>
          <w:szCs w:val="22"/>
        </w:rPr>
      </w:pPr>
    </w:p>
    <w:p w14:paraId="206397F5" w14:textId="77777777" w:rsidR="007E330D" w:rsidRDefault="007E330D" w:rsidP="007E330D">
      <w:pPr>
        <w:spacing w:after="0"/>
        <w:jc w:val="both"/>
        <w:rPr>
          <w:b/>
          <w:szCs w:val="22"/>
        </w:rPr>
      </w:pPr>
      <w:r w:rsidRPr="00576F0D">
        <w:rPr>
          <w:b/>
          <w:szCs w:val="22"/>
        </w:rPr>
        <w:t xml:space="preserve">Observation </w:t>
      </w:r>
      <w:r>
        <w:rPr>
          <w:b/>
          <w:szCs w:val="22"/>
        </w:rPr>
        <w:t>3</w:t>
      </w:r>
      <w:r w:rsidRPr="00576F0D">
        <w:rPr>
          <w:b/>
          <w:szCs w:val="22"/>
        </w:rPr>
        <w:t xml:space="preserve">: </w:t>
      </w:r>
      <w:r>
        <w:rPr>
          <w:b/>
          <w:szCs w:val="22"/>
        </w:rPr>
        <w:t>Option 4 does not require any additional deployment planning effort and supports the most flexibility for dynamic topology adaptation at the Donor CU.</w:t>
      </w:r>
    </w:p>
    <w:p w14:paraId="74A45662" w14:textId="77777777" w:rsidR="009B7D4F" w:rsidRDefault="009B7D4F" w:rsidP="006B2A0C">
      <w:pPr>
        <w:spacing w:after="0"/>
        <w:jc w:val="both"/>
        <w:rPr>
          <w:b/>
          <w:szCs w:val="22"/>
        </w:rPr>
      </w:pPr>
    </w:p>
    <w:p w14:paraId="38D44465" w14:textId="2225669F" w:rsidR="00D269E0" w:rsidRPr="00D269E0" w:rsidRDefault="00D269E0" w:rsidP="00D269E0">
      <w:pPr>
        <w:spacing w:after="0"/>
        <w:jc w:val="both"/>
        <w:rPr>
          <w:b/>
          <w:szCs w:val="22"/>
        </w:rPr>
      </w:pPr>
      <w:r>
        <w:rPr>
          <w:b/>
          <w:szCs w:val="22"/>
        </w:rPr>
        <w:t xml:space="preserve">Proposal: </w:t>
      </w:r>
      <w:r w:rsidRPr="00D269E0">
        <w:rPr>
          <w:b/>
          <w:szCs w:val="22"/>
        </w:rPr>
        <w:t>Option 4 should be taken as the baseline method for parent selection in Rel-16. Support</w:t>
      </w:r>
      <w:r w:rsidR="007F19C9">
        <w:rPr>
          <w:b/>
          <w:szCs w:val="22"/>
        </w:rPr>
        <w:t xml:space="preserve"> for</w:t>
      </w:r>
      <w:r w:rsidRPr="00D269E0">
        <w:rPr>
          <w:b/>
          <w:szCs w:val="22"/>
        </w:rPr>
        <w:t xml:space="preserve"> OAM-based or system-information based approaches to </w:t>
      </w:r>
      <w:proofErr w:type="gramStart"/>
      <w:r w:rsidRPr="00D269E0">
        <w:rPr>
          <w:b/>
          <w:szCs w:val="22"/>
        </w:rPr>
        <w:t>provide assistance</w:t>
      </w:r>
      <w:proofErr w:type="gramEnd"/>
      <w:r w:rsidRPr="00D269E0">
        <w:rPr>
          <w:b/>
          <w:szCs w:val="22"/>
        </w:rPr>
        <w:t xml:space="preserve"> information for parent selection can be considered</w:t>
      </w:r>
      <w:r>
        <w:rPr>
          <w:b/>
          <w:szCs w:val="22"/>
        </w:rPr>
        <w:t xml:space="preserve"> as an optional feature, but not mandatory for IAB</w:t>
      </w:r>
      <w:r w:rsidRPr="00D269E0">
        <w:rPr>
          <w:b/>
          <w:szCs w:val="22"/>
        </w:rPr>
        <w:t>.</w:t>
      </w:r>
    </w:p>
    <w:p w14:paraId="0B76CEA3" w14:textId="77777777" w:rsidR="00ED021E" w:rsidRDefault="00ED021E" w:rsidP="00ED021E"/>
    <w:p w14:paraId="3C099C76" w14:textId="7DA372BD" w:rsidR="00AF2C72" w:rsidRPr="006B13A0" w:rsidRDefault="00AF2C72" w:rsidP="006B13A0">
      <w:pPr>
        <w:pStyle w:val="Heading1"/>
      </w:pPr>
      <w:r>
        <w:t>Reference</w:t>
      </w:r>
    </w:p>
    <w:p w14:paraId="2126413A" w14:textId="5CCA371A" w:rsidR="00B71D00" w:rsidRDefault="0064521D" w:rsidP="00805FBE">
      <w:pPr>
        <w:pStyle w:val="2222"/>
        <w:numPr>
          <w:ilvl w:val="0"/>
          <w:numId w:val="2"/>
        </w:numPr>
        <w:spacing w:after="120" w:line="288" w:lineRule="auto"/>
        <w:ind w:left="360" w:firstLineChars="0"/>
        <w:jc w:val="left"/>
        <w:rPr>
          <w:rFonts w:cs="Times New Roman"/>
          <w:lang w:eastAsia="ko-KR"/>
        </w:rPr>
      </w:pPr>
      <w:r>
        <w:rPr>
          <w:rFonts w:cs="Times New Roman"/>
          <w:lang w:eastAsia="ko-KR"/>
        </w:rPr>
        <w:t>RP-17</w:t>
      </w:r>
      <w:r w:rsidR="00D00718">
        <w:rPr>
          <w:rFonts w:cs="Times New Roman"/>
          <w:lang w:eastAsia="ko-KR"/>
        </w:rPr>
        <w:t>2290</w:t>
      </w:r>
      <w:r>
        <w:rPr>
          <w:rFonts w:cs="Times New Roman"/>
          <w:lang w:eastAsia="ko-KR"/>
        </w:rPr>
        <w:t>, Study on Integrated Access and Backhaul for NR, AT&amp;T, Qualcomm, Samsung.</w:t>
      </w:r>
    </w:p>
    <w:p w14:paraId="2182245D" w14:textId="4E0328C8" w:rsidR="00ED021E" w:rsidRDefault="00B71D00" w:rsidP="00805FBE">
      <w:pPr>
        <w:pStyle w:val="2222"/>
        <w:numPr>
          <w:ilvl w:val="0"/>
          <w:numId w:val="2"/>
        </w:numPr>
        <w:spacing w:after="120" w:line="288" w:lineRule="auto"/>
        <w:ind w:left="360" w:firstLineChars="0"/>
        <w:jc w:val="left"/>
        <w:rPr>
          <w:rFonts w:cs="Times New Roman"/>
          <w:lang w:eastAsia="ko-KR"/>
        </w:rPr>
      </w:pPr>
      <w:r w:rsidRPr="00B71D00">
        <w:rPr>
          <w:rFonts w:cs="Times New Roman"/>
          <w:lang w:eastAsia="ko-KR"/>
        </w:rPr>
        <w:t xml:space="preserve">TR 38.874 </w:t>
      </w:r>
      <w:r w:rsidR="00ED021E">
        <w:rPr>
          <w:rFonts w:cs="Times New Roman"/>
          <w:lang w:eastAsia="ko-KR"/>
        </w:rPr>
        <w:t>v</w:t>
      </w:r>
      <w:r w:rsidR="0026790C">
        <w:rPr>
          <w:rFonts w:cs="Times New Roman"/>
          <w:lang w:eastAsia="ko-KR"/>
        </w:rPr>
        <w:t>16.0.0</w:t>
      </w:r>
      <w:r w:rsidRPr="00B71D00">
        <w:rPr>
          <w:rFonts w:cs="Times New Roman"/>
          <w:lang w:eastAsia="ko-KR"/>
        </w:rPr>
        <w:t>, Study on Integrated Access and Backhaul for NR.</w:t>
      </w:r>
    </w:p>
    <w:sectPr w:rsidR="00ED021E" w:rsidSect="001D7377">
      <w:headerReference w:type="even" r:id="rId11"/>
      <w:footerReference w:type="even" r:id="rId12"/>
      <w:footerReference w:type="default" r:id="rId1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54EC7" w14:textId="77777777" w:rsidR="00705D2D" w:rsidRDefault="00705D2D" w:rsidP="00A03DF3">
      <w:pPr>
        <w:spacing w:after="0"/>
      </w:pPr>
      <w:r>
        <w:separator/>
      </w:r>
    </w:p>
  </w:endnote>
  <w:endnote w:type="continuationSeparator" w:id="0">
    <w:p w14:paraId="37B3D6B8" w14:textId="77777777" w:rsidR="00705D2D" w:rsidRDefault="00705D2D"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B99A8" w14:textId="77777777" w:rsidR="00540C69" w:rsidRDefault="00540C69"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540C69" w:rsidRDefault="00540C69" w:rsidP="00107E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52129" w14:textId="3D32311B" w:rsidR="00540C69" w:rsidRDefault="00540C69"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A8080" w14:textId="77777777" w:rsidR="00705D2D" w:rsidRDefault="00705D2D" w:rsidP="00A03DF3">
      <w:pPr>
        <w:spacing w:after="0"/>
      </w:pPr>
      <w:r>
        <w:separator/>
      </w:r>
    </w:p>
  </w:footnote>
  <w:footnote w:type="continuationSeparator" w:id="0">
    <w:p w14:paraId="6A58A3B8" w14:textId="77777777" w:rsidR="00705D2D" w:rsidRDefault="00705D2D" w:rsidP="00A03D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F86CE" w14:textId="77777777" w:rsidR="00540C69" w:rsidRDefault="00540C6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56BC8"/>
    <w:rsid w:val="00066211"/>
    <w:rsid w:val="00066D52"/>
    <w:rsid w:val="000705CC"/>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B7364"/>
    <w:rsid w:val="000C2AB2"/>
    <w:rsid w:val="000C3241"/>
    <w:rsid w:val="000C54D1"/>
    <w:rsid w:val="000C5F30"/>
    <w:rsid w:val="000D0F48"/>
    <w:rsid w:val="000D17B7"/>
    <w:rsid w:val="000D44F3"/>
    <w:rsid w:val="000D6F3C"/>
    <w:rsid w:val="000D7B19"/>
    <w:rsid w:val="000E1C7E"/>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3942"/>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238"/>
    <w:rsid w:val="001974D0"/>
    <w:rsid w:val="001A059E"/>
    <w:rsid w:val="001A0BC6"/>
    <w:rsid w:val="001B07D0"/>
    <w:rsid w:val="001B148E"/>
    <w:rsid w:val="001B1E04"/>
    <w:rsid w:val="001B1ED0"/>
    <w:rsid w:val="001B60A9"/>
    <w:rsid w:val="001B6C4D"/>
    <w:rsid w:val="001C3C25"/>
    <w:rsid w:val="001C5C93"/>
    <w:rsid w:val="001D3D46"/>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6790C"/>
    <w:rsid w:val="00270269"/>
    <w:rsid w:val="00270E7D"/>
    <w:rsid w:val="00273449"/>
    <w:rsid w:val="00273B90"/>
    <w:rsid w:val="00276192"/>
    <w:rsid w:val="00276AAD"/>
    <w:rsid w:val="00277131"/>
    <w:rsid w:val="00280D6A"/>
    <w:rsid w:val="00282243"/>
    <w:rsid w:val="002904EE"/>
    <w:rsid w:val="00291DC2"/>
    <w:rsid w:val="002947BA"/>
    <w:rsid w:val="00294E72"/>
    <w:rsid w:val="002A0EC8"/>
    <w:rsid w:val="002A443F"/>
    <w:rsid w:val="002B113B"/>
    <w:rsid w:val="002B26F8"/>
    <w:rsid w:val="002B5FD7"/>
    <w:rsid w:val="002B6ADF"/>
    <w:rsid w:val="002C1A6B"/>
    <w:rsid w:val="002C49F0"/>
    <w:rsid w:val="002D0E77"/>
    <w:rsid w:val="002D1D49"/>
    <w:rsid w:val="002D566F"/>
    <w:rsid w:val="002D6FB7"/>
    <w:rsid w:val="002E026C"/>
    <w:rsid w:val="002E3614"/>
    <w:rsid w:val="002E37DE"/>
    <w:rsid w:val="002F0C46"/>
    <w:rsid w:val="002F1B33"/>
    <w:rsid w:val="002F3A3E"/>
    <w:rsid w:val="002F3FC4"/>
    <w:rsid w:val="00301F11"/>
    <w:rsid w:val="00303721"/>
    <w:rsid w:val="00304012"/>
    <w:rsid w:val="00305BD0"/>
    <w:rsid w:val="0031220B"/>
    <w:rsid w:val="00312297"/>
    <w:rsid w:val="00316619"/>
    <w:rsid w:val="00317DDA"/>
    <w:rsid w:val="00320BD0"/>
    <w:rsid w:val="00323D1C"/>
    <w:rsid w:val="003246F3"/>
    <w:rsid w:val="003266DD"/>
    <w:rsid w:val="00327898"/>
    <w:rsid w:val="0033045D"/>
    <w:rsid w:val="00331DD7"/>
    <w:rsid w:val="00332CC0"/>
    <w:rsid w:val="003336FC"/>
    <w:rsid w:val="003346E4"/>
    <w:rsid w:val="00337899"/>
    <w:rsid w:val="00337FAE"/>
    <w:rsid w:val="00340D03"/>
    <w:rsid w:val="0034274F"/>
    <w:rsid w:val="00343D0D"/>
    <w:rsid w:val="00347568"/>
    <w:rsid w:val="003547D5"/>
    <w:rsid w:val="003572C1"/>
    <w:rsid w:val="00363E20"/>
    <w:rsid w:val="00364C2A"/>
    <w:rsid w:val="0036606A"/>
    <w:rsid w:val="00373D8C"/>
    <w:rsid w:val="0037404F"/>
    <w:rsid w:val="00374551"/>
    <w:rsid w:val="00374EB9"/>
    <w:rsid w:val="00375AB6"/>
    <w:rsid w:val="00376A4C"/>
    <w:rsid w:val="003778D9"/>
    <w:rsid w:val="00377A07"/>
    <w:rsid w:val="00382B8E"/>
    <w:rsid w:val="00387632"/>
    <w:rsid w:val="00387A55"/>
    <w:rsid w:val="00390188"/>
    <w:rsid w:val="00393F89"/>
    <w:rsid w:val="0039473D"/>
    <w:rsid w:val="00395A22"/>
    <w:rsid w:val="003A0EB3"/>
    <w:rsid w:val="003A157A"/>
    <w:rsid w:val="003A17F8"/>
    <w:rsid w:val="003A1BE3"/>
    <w:rsid w:val="003A1CDB"/>
    <w:rsid w:val="003A3C47"/>
    <w:rsid w:val="003A51FE"/>
    <w:rsid w:val="003A6195"/>
    <w:rsid w:val="003A78B4"/>
    <w:rsid w:val="003A79ED"/>
    <w:rsid w:val="003B28E2"/>
    <w:rsid w:val="003B4545"/>
    <w:rsid w:val="003B5826"/>
    <w:rsid w:val="003B5C49"/>
    <w:rsid w:val="003C04C9"/>
    <w:rsid w:val="003C0E79"/>
    <w:rsid w:val="003C7444"/>
    <w:rsid w:val="003C76E7"/>
    <w:rsid w:val="003D2E6C"/>
    <w:rsid w:val="003D41DA"/>
    <w:rsid w:val="003D53F0"/>
    <w:rsid w:val="003D6E67"/>
    <w:rsid w:val="003D7039"/>
    <w:rsid w:val="003E3239"/>
    <w:rsid w:val="003E3522"/>
    <w:rsid w:val="003E6804"/>
    <w:rsid w:val="003E7DEE"/>
    <w:rsid w:val="003F18D4"/>
    <w:rsid w:val="003F1A54"/>
    <w:rsid w:val="003F44FB"/>
    <w:rsid w:val="003F664D"/>
    <w:rsid w:val="003F6824"/>
    <w:rsid w:val="003F68FF"/>
    <w:rsid w:val="00401CA4"/>
    <w:rsid w:val="00402754"/>
    <w:rsid w:val="00404B2F"/>
    <w:rsid w:val="00404E7A"/>
    <w:rsid w:val="0040650E"/>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64CC"/>
    <w:rsid w:val="004373B3"/>
    <w:rsid w:val="004377F0"/>
    <w:rsid w:val="0044468E"/>
    <w:rsid w:val="004457B1"/>
    <w:rsid w:val="00446B9E"/>
    <w:rsid w:val="00451BA0"/>
    <w:rsid w:val="00460FF1"/>
    <w:rsid w:val="00462337"/>
    <w:rsid w:val="00464EBF"/>
    <w:rsid w:val="00465407"/>
    <w:rsid w:val="0046609F"/>
    <w:rsid w:val="004678E8"/>
    <w:rsid w:val="00470821"/>
    <w:rsid w:val="00477A4A"/>
    <w:rsid w:val="00484322"/>
    <w:rsid w:val="00484487"/>
    <w:rsid w:val="00485C14"/>
    <w:rsid w:val="00487D79"/>
    <w:rsid w:val="00491CAF"/>
    <w:rsid w:val="00492AF8"/>
    <w:rsid w:val="004934E6"/>
    <w:rsid w:val="0049755C"/>
    <w:rsid w:val="004A5460"/>
    <w:rsid w:val="004A6EA1"/>
    <w:rsid w:val="004A7A57"/>
    <w:rsid w:val="004B062B"/>
    <w:rsid w:val="004B1914"/>
    <w:rsid w:val="004B334F"/>
    <w:rsid w:val="004B53E3"/>
    <w:rsid w:val="004B761C"/>
    <w:rsid w:val="004B7973"/>
    <w:rsid w:val="004C01AE"/>
    <w:rsid w:val="004C157C"/>
    <w:rsid w:val="004C5E1C"/>
    <w:rsid w:val="004C6E15"/>
    <w:rsid w:val="004D23C9"/>
    <w:rsid w:val="004D2D73"/>
    <w:rsid w:val="004D4847"/>
    <w:rsid w:val="004D7FF6"/>
    <w:rsid w:val="004E0E7A"/>
    <w:rsid w:val="004E24E6"/>
    <w:rsid w:val="004E2B12"/>
    <w:rsid w:val="004E326A"/>
    <w:rsid w:val="004E45AE"/>
    <w:rsid w:val="004F14EC"/>
    <w:rsid w:val="005005DC"/>
    <w:rsid w:val="00502F81"/>
    <w:rsid w:val="00505AD6"/>
    <w:rsid w:val="00507616"/>
    <w:rsid w:val="00507B3C"/>
    <w:rsid w:val="00512C66"/>
    <w:rsid w:val="005132EB"/>
    <w:rsid w:val="00515991"/>
    <w:rsid w:val="00520D3A"/>
    <w:rsid w:val="00523E5C"/>
    <w:rsid w:val="00526E57"/>
    <w:rsid w:val="0052789C"/>
    <w:rsid w:val="00530A7F"/>
    <w:rsid w:val="0053337C"/>
    <w:rsid w:val="00534474"/>
    <w:rsid w:val="00540C69"/>
    <w:rsid w:val="00542900"/>
    <w:rsid w:val="00546C64"/>
    <w:rsid w:val="00550E5F"/>
    <w:rsid w:val="0055311C"/>
    <w:rsid w:val="0055425E"/>
    <w:rsid w:val="00554916"/>
    <w:rsid w:val="00554A6F"/>
    <w:rsid w:val="00556937"/>
    <w:rsid w:val="00557E3C"/>
    <w:rsid w:val="00560B0A"/>
    <w:rsid w:val="00566D2E"/>
    <w:rsid w:val="005672AD"/>
    <w:rsid w:val="0056776F"/>
    <w:rsid w:val="00572547"/>
    <w:rsid w:val="005745E3"/>
    <w:rsid w:val="00574896"/>
    <w:rsid w:val="00576219"/>
    <w:rsid w:val="00576F0D"/>
    <w:rsid w:val="00577765"/>
    <w:rsid w:val="00580735"/>
    <w:rsid w:val="00585441"/>
    <w:rsid w:val="0058635D"/>
    <w:rsid w:val="0058748B"/>
    <w:rsid w:val="00591605"/>
    <w:rsid w:val="00594E1F"/>
    <w:rsid w:val="005A0001"/>
    <w:rsid w:val="005A13B6"/>
    <w:rsid w:val="005B4A31"/>
    <w:rsid w:val="005C17F4"/>
    <w:rsid w:val="005C1BF7"/>
    <w:rsid w:val="005C1CAB"/>
    <w:rsid w:val="005C2497"/>
    <w:rsid w:val="005C4DCF"/>
    <w:rsid w:val="005C5F6F"/>
    <w:rsid w:val="005C6FED"/>
    <w:rsid w:val="005D4158"/>
    <w:rsid w:val="005D693B"/>
    <w:rsid w:val="005E303C"/>
    <w:rsid w:val="005E3995"/>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9B3"/>
    <w:rsid w:val="00676C08"/>
    <w:rsid w:val="006774EA"/>
    <w:rsid w:val="00682E8A"/>
    <w:rsid w:val="00683F52"/>
    <w:rsid w:val="00684402"/>
    <w:rsid w:val="00690ECB"/>
    <w:rsid w:val="00692A94"/>
    <w:rsid w:val="006931F2"/>
    <w:rsid w:val="00695014"/>
    <w:rsid w:val="00697235"/>
    <w:rsid w:val="00697CB2"/>
    <w:rsid w:val="006A2101"/>
    <w:rsid w:val="006B13A0"/>
    <w:rsid w:val="006B2A0C"/>
    <w:rsid w:val="006D06BF"/>
    <w:rsid w:val="006D4F51"/>
    <w:rsid w:val="006D71C6"/>
    <w:rsid w:val="006E3655"/>
    <w:rsid w:val="006E3876"/>
    <w:rsid w:val="006E40CC"/>
    <w:rsid w:val="006E5D2D"/>
    <w:rsid w:val="006F1AB8"/>
    <w:rsid w:val="006F1DB7"/>
    <w:rsid w:val="006F67B2"/>
    <w:rsid w:val="00700F24"/>
    <w:rsid w:val="00701722"/>
    <w:rsid w:val="00701AC6"/>
    <w:rsid w:val="00701D4D"/>
    <w:rsid w:val="007038C7"/>
    <w:rsid w:val="00705D2D"/>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45F"/>
    <w:rsid w:val="00787DC9"/>
    <w:rsid w:val="007933F1"/>
    <w:rsid w:val="00794BEE"/>
    <w:rsid w:val="00795D96"/>
    <w:rsid w:val="007A4702"/>
    <w:rsid w:val="007A5A73"/>
    <w:rsid w:val="007A7E45"/>
    <w:rsid w:val="007B0698"/>
    <w:rsid w:val="007B1EF8"/>
    <w:rsid w:val="007B3085"/>
    <w:rsid w:val="007B3DE9"/>
    <w:rsid w:val="007B4487"/>
    <w:rsid w:val="007B4F78"/>
    <w:rsid w:val="007B6396"/>
    <w:rsid w:val="007B6A8C"/>
    <w:rsid w:val="007B6F7A"/>
    <w:rsid w:val="007B777E"/>
    <w:rsid w:val="007C02F6"/>
    <w:rsid w:val="007C0F3A"/>
    <w:rsid w:val="007C3145"/>
    <w:rsid w:val="007C3A89"/>
    <w:rsid w:val="007C3B30"/>
    <w:rsid w:val="007D025A"/>
    <w:rsid w:val="007D1EDB"/>
    <w:rsid w:val="007D2B51"/>
    <w:rsid w:val="007D3347"/>
    <w:rsid w:val="007D37A6"/>
    <w:rsid w:val="007D3929"/>
    <w:rsid w:val="007D4364"/>
    <w:rsid w:val="007D4EF8"/>
    <w:rsid w:val="007E1361"/>
    <w:rsid w:val="007E3019"/>
    <w:rsid w:val="007E31D6"/>
    <w:rsid w:val="007E330D"/>
    <w:rsid w:val="007E403A"/>
    <w:rsid w:val="007E466A"/>
    <w:rsid w:val="007E5AFA"/>
    <w:rsid w:val="007E67DA"/>
    <w:rsid w:val="007F0002"/>
    <w:rsid w:val="007F08CC"/>
    <w:rsid w:val="007F1518"/>
    <w:rsid w:val="007F188C"/>
    <w:rsid w:val="007F19C9"/>
    <w:rsid w:val="007F3823"/>
    <w:rsid w:val="007F622A"/>
    <w:rsid w:val="00805CD7"/>
    <w:rsid w:val="00805FBE"/>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75E94"/>
    <w:rsid w:val="0088025E"/>
    <w:rsid w:val="0088342F"/>
    <w:rsid w:val="00884757"/>
    <w:rsid w:val="008866D5"/>
    <w:rsid w:val="00886C69"/>
    <w:rsid w:val="00896357"/>
    <w:rsid w:val="00896663"/>
    <w:rsid w:val="00896ED9"/>
    <w:rsid w:val="008A0593"/>
    <w:rsid w:val="008A1B5D"/>
    <w:rsid w:val="008A5CC4"/>
    <w:rsid w:val="008A7C64"/>
    <w:rsid w:val="008B01CA"/>
    <w:rsid w:val="008B0502"/>
    <w:rsid w:val="008B2785"/>
    <w:rsid w:val="008B3683"/>
    <w:rsid w:val="008B4956"/>
    <w:rsid w:val="008C3161"/>
    <w:rsid w:val="008C7323"/>
    <w:rsid w:val="008D04DC"/>
    <w:rsid w:val="008D098B"/>
    <w:rsid w:val="008D2A8E"/>
    <w:rsid w:val="008D3301"/>
    <w:rsid w:val="008D5128"/>
    <w:rsid w:val="008E0B51"/>
    <w:rsid w:val="008E0C3B"/>
    <w:rsid w:val="008E1849"/>
    <w:rsid w:val="008E332B"/>
    <w:rsid w:val="008E4630"/>
    <w:rsid w:val="008E4A25"/>
    <w:rsid w:val="008E5422"/>
    <w:rsid w:val="008E5AEC"/>
    <w:rsid w:val="008F1068"/>
    <w:rsid w:val="008F1365"/>
    <w:rsid w:val="008F4B86"/>
    <w:rsid w:val="009031D6"/>
    <w:rsid w:val="009060A4"/>
    <w:rsid w:val="00906F42"/>
    <w:rsid w:val="00907FBE"/>
    <w:rsid w:val="00913445"/>
    <w:rsid w:val="009153CC"/>
    <w:rsid w:val="0092002C"/>
    <w:rsid w:val="00920EB9"/>
    <w:rsid w:val="00922DB8"/>
    <w:rsid w:val="00922FFE"/>
    <w:rsid w:val="00924C66"/>
    <w:rsid w:val="00926EB6"/>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75D57"/>
    <w:rsid w:val="00982817"/>
    <w:rsid w:val="009867D6"/>
    <w:rsid w:val="00986E49"/>
    <w:rsid w:val="00990685"/>
    <w:rsid w:val="00990A43"/>
    <w:rsid w:val="0099602E"/>
    <w:rsid w:val="009A0E1B"/>
    <w:rsid w:val="009A2943"/>
    <w:rsid w:val="009A3908"/>
    <w:rsid w:val="009A5C07"/>
    <w:rsid w:val="009B34F4"/>
    <w:rsid w:val="009B3CC5"/>
    <w:rsid w:val="009B63FE"/>
    <w:rsid w:val="009B6715"/>
    <w:rsid w:val="009B7D4F"/>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5FBB"/>
    <w:rsid w:val="00A16A36"/>
    <w:rsid w:val="00A17E1C"/>
    <w:rsid w:val="00A22287"/>
    <w:rsid w:val="00A24FFD"/>
    <w:rsid w:val="00A26310"/>
    <w:rsid w:val="00A27BFE"/>
    <w:rsid w:val="00A35A20"/>
    <w:rsid w:val="00A36F7A"/>
    <w:rsid w:val="00A40933"/>
    <w:rsid w:val="00A411BA"/>
    <w:rsid w:val="00A42970"/>
    <w:rsid w:val="00A442F2"/>
    <w:rsid w:val="00A45CAD"/>
    <w:rsid w:val="00A462B3"/>
    <w:rsid w:val="00A46AA0"/>
    <w:rsid w:val="00A46FFC"/>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8506A"/>
    <w:rsid w:val="00A96350"/>
    <w:rsid w:val="00AA02EB"/>
    <w:rsid w:val="00AA3049"/>
    <w:rsid w:val="00AA5ED1"/>
    <w:rsid w:val="00AA7442"/>
    <w:rsid w:val="00AA7889"/>
    <w:rsid w:val="00AA7B2F"/>
    <w:rsid w:val="00AB0172"/>
    <w:rsid w:val="00AB0ED0"/>
    <w:rsid w:val="00AB2709"/>
    <w:rsid w:val="00AB397A"/>
    <w:rsid w:val="00AB595D"/>
    <w:rsid w:val="00AC5E09"/>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6AD"/>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1D00"/>
    <w:rsid w:val="00B75BAE"/>
    <w:rsid w:val="00B8083F"/>
    <w:rsid w:val="00B86C48"/>
    <w:rsid w:val="00B86D5E"/>
    <w:rsid w:val="00B86DDF"/>
    <w:rsid w:val="00B92C1A"/>
    <w:rsid w:val="00B9328C"/>
    <w:rsid w:val="00B940DF"/>
    <w:rsid w:val="00B973D0"/>
    <w:rsid w:val="00BA5094"/>
    <w:rsid w:val="00BA6439"/>
    <w:rsid w:val="00BB7132"/>
    <w:rsid w:val="00BC18A7"/>
    <w:rsid w:val="00BC2552"/>
    <w:rsid w:val="00BC622B"/>
    <w:rsid w:val="00BC6517"/>
    <w:rsid w:val="00BC66E7"/>
    <w:rsid w:val="00BC703B"/>
    <w:rsid w:val="00BC7F02"/>
    <w:rsid w:val="00BD2690"/>
    <w:rsid w:val="00BD2E31"/>
    <w:rsid w:val="00BD5423"/>
    <w:rsid w:val="00BD5910"/>
    <w:rsid w:val="00BE0064"/>
    <w:rsid w:val="00BE0B73"/>
    <w:rsid w:val="00BE119E"/>
    <w:rsid w:val="00BE2BF0"/>
    <w:rsid w:val="00BE4FED"/>
    <w:rsid w:val="00BF3706"/>
    <w:rsid w:val="00BF53CC"/>
    <w:rsid w:val="00C0337D"/>
    <w:rsid w:val="00C03938"/>
    <w:rsid w:val="00C03AC6"/>
    <w:rsid w:val="00C041A2"/>
    <w:rsid w:val="00C10662"/>
    <w:rsid w:val="00C13584"/>
    <w:rsid w:val="00C13C76"/>
    <w:rsid w:val="00C1412D"/>
    <w:rsid w:val="00C15431"/>
    <w:rsid w:val="00C164B7"/>
    <w:rsid w:val="00C20564"/>
    <w:rsid w:val="00C22111"/>
    <w:rsid w:val="00C2321F"/>
    <w:rsid w:val="00C23C35"/>
    <w:rsid w:val="00C24250"/>
    <w:rsid w:val="00C2535E"/>
    <w:rsid w:val="00C26A7D"/>
    <w:rsid w:val="00C26EEA"/>
    <w:rsid w:val="00C27825"/>
    <w:rsid w:val="00C30AC5"/>
    <w:rsid w:val="00C31268"/>
    <w:rsid w:val="00C32ABF"/>
    <w:rsid w:val="00C32E9D"/>
    <w:rsid w:val="00C3611F"/>
    <w:rsid w:val="00C366CB"/>
    <w:rsid w:val="00C414EE"/>
    <w:rsid w:val="00C47828"/>
    <w:rsid w:val="00C50D06"/>
    <w:rsid w:val="00C50F1D"/>
    <w:rsid w:val="00C528CF"/>
    <w:rsid w:val="00C532A5"/>
    <w:rsid w:val="00C53D8F"/>
    <w:rsid w:val="00C542D0"/>
    <w:rsid w:val="00C606EA"/>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96F9A"/>
    <w:rsid w:val="00CA3E7B"/>
    <w:rsid w:val="00CA6F59"/>
    <w:rsid w:val="00CA7AD5"/>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0718"/>
    <w:rsid w:val="00D01615"/>
    <w:rsid w:val="00D07A78"/>
    <w:rsid w:val="00D1087A"/>
    <w:rsid w:val="00D11AD9"/>
    <w:rsid w:val="00D11E75"/>
    <w:rsid w:val="00D156FD"/>
    <w:rsid w:val="00D20A01"/>
    <w:rsid w:val="00D21707"/>
    <w:rsid w:val="00D21F62"/>
    <w:rsid w:val="00D25618"/>
    <w:rsid w:val="00D25F6D"/>
    <w:rsid w:val="00D2655C"/>
    <w:rsid w:val="00D269E0"/>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6B79"/>
    <w:rsid w:val="00D773F5"/>
    <w:rsid w:val="00D844CD"/>
    <w:rsid w:val="00D86C0A"/>
    <w:rsid w:val="00D86CDE"/>
    <w:rsid w:val="00D91B82"/>
    <w:rsid w:val="00D923F2"/>
    <w:rsid w:val="00DA1B9A"/>
    <w:rsid w:val="00DA53F3"/>
    <w:rsid w:val="00DA60BB"/>
    <w:rsid w:val="00DA7B6D"/>
    <w:rsid w:val="00DB32D0"/>
    <w:rsid w:val="00DB7753"/>
    <w:rsid w:val="00DC69F1"/>
    <w:rsid w:val="00DD051F"/>
    <w:rsid w:val="00DD27CD"/>
    <w:rsid w:val="00DE093B"/>
    <w:rsid w:val="00DE0A17"/>
    <w:rsid w:val="00DE4BE7"/>
    <w:rsid w:val="00DE5572"/>
    <w:rsid w:val="00DE796D"/>
    <w:rsid w:val="00DF364B"/>
    <w:rsid w:val="00E030D4"/>
    <w:rsid w:val="00E03787"/>
    <w:rsid w:val="00E03B4F"/>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254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85E67"/>
    <w:rsid w:val="00E9695C"/>
    <w:rsid w:val="00E9755B"/>
    <w:rsid w:val="00EA4F7C"/>
    <w:rsid w:val="00EB3023"/>
    <w:rsid w:val="00EB3933"/>
    <w:rsid w:val="00EB3C1A"/>
    <w:rsid w:val="00EB3E74"/>
    <w:rsid w:val="00EB6F52"/>
    <w:rsid w:val="00EC0809"/>
    <w:rsid w:val="00EC3BD4"/>
    <w:rsid w:val="00EC4C97"/>
    <w:rsid w:val="00EC4E5C"/>
    <w:rsid w:val="00ED021E"/>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442"/>
    <w:rsid w:val="00F176BB"/>
    <w:rsid w:val="00F23797"/>
    <w:rsid w:val="00F249A4"/>
    <w:rsid w:val="00F307ED"/>
    <w:rsid w:val="00F31548"/>
    <w:rsid w:val="00F3304D"/>
    <w:rsid w:val="00F33E4A"/>
    <w:rsid w:val="00F35B9A"/>
    <w:rsid w:val="00F35C83"/>
    <w:rsid w:val="00F420E7"/>
    <w:rsid w:val="00F42D8E"/>
    <w:rsid w:val="00F455FC"/>
    <w:rsid w:val="00F46DA6"/>
    <w:rsid w:val="00F51112"/>
    <w:rsid w:val="00F53F7C"/>
    <w:rsid w:val="00F558E7"/>
    <w:rsid w:val="00F62D70"/>
    <w:rsid w:val="00F66B33"/>
    <w:rsid w:val="00F670FA"/>
    <w:rsid w:val="00F672AD"/>
    <w:rsid w:val="00F67A74"/>
    <w:rsid w:val="00F71D1D"/>
    <w:rsid w:val="00F74300"/>
    <w:rsid w:val="00F8398C"/>
    <w:rsid w:val="00F9037A"/>
    <w:rsid w:val="00F92065"/>
    <w:rsid w:val="00F928B9"/>
    <w:rsid w:val="00F93A5B"/>
    <w:rsid w:val="00F93AB4"/>
    <w:rsid w:val="00F93C84"/>
    <w:rsid w:val="00F95FE0"/>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Cs w:val="20"/>
      <w:lang w:val="en-GB"/>
    </w:rPr>
  </w:style>
  <w:style w:type="character" w:customStyle="1" w:styleId="Heading7Char">
    <w:name w:val="Heading 7 Char"/>
    <w:basedOn w:val="DefaultParagraphFont"/>
    <w:link w:val="Heading7"/>
    <w:rsid w:val="001D7377"/>
    <w:rPr>
      <w:rFonts w:ascii="Arial" w:eastAsia="SimSun" w:hAnsi="Arial" w:cs="Times New Roman"/>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qForma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 w:type="paragraph" w:styleId="Revision">
    <w:name w:val="Revision"/>
    <w:hidden/>
    <w:uiPriority w:val="99"/>
    <w:semiHidden/>
    <w:rsid w:val="00D00718"/>
    <w:pPr>
      <w:spacing w:after="0" w:line="240" w:lineRule="auto"/>
    </w:pPr>
    <w:rPr>
      <w:rFonts w:eastAsia="SimSun" w:cs="Times New Roman"/>
      <w:szCs w:val="20"/>
    </w:rPr>
  </w:style>
  <w:style w:type="paragraph" w:customStyle="1" w:styleId="3GPPHeader">
    <w:name w:val="3GPP_Header"/>
    <w:basedOn w:val="BodyText"/>
    <w:rsid w:val="001B1E04"/>
    <w:pPr>
      <w:tabs>
        <w:tab w:val="left" w:pos="1701"/>
        <w:tab w:val="right" w:pos="9639"/>
      </w:tabs>
      <w:spacing w:after="240" w:line="259" w:lineRule="auto"/>
    </w:pPr>
    <w:rPr>
      <w:rFonts w:ascii="Arial" w:eastAsiaTheme="minorHAnsi" w:hAnsi="Arial" w:cstheme="minorBidi"/>
      <w:b/>
      <w:sz w:val="24"/>
      <w:szCs w:val="22"/>
      <w:lang w:eastAsia="zh-CN"/>
    </w:rPr>
  </w:style>
  <w:style w:type="paragraph" w:customStyle="1" w:styleId="B1">
    <w:name w:val="B1"/>
    <w:basedOn w:val="List"/>
    <w:link w:val="B1Char"/>
    <w:rsid w:val="00C606EA"/>
    <w:pPr>
      <w:ind w:left="568" w:hanging="284"/>
      <w:contextualSpacing w:val="0"/>
    </w:pPr>
    <w:rPr>
      <w:rFonts w:ascii="Times New Roman" w:eastAsia="Times New Roman" w:hAnsi="Times New Roman"/>
      <w:sz w:val="20"/>
      <w:lang w:val="x-none" w:eastAsia="x-none"/>
    </w:rPr>
  </w:style>
  <w:style w:type="character" w:customStyle="1" w:styleId="B1Char">
    <w:name w:val="B1 Char"/>
    <w:link w:val="B1"/>
    <w:rsid w:val="00C606EA"/>
    <w:rPr>
      <w:rFonts w:ascii="Times New Roman" w:eastAsia="Times New Roman" w:hAnsi="Times New Roman" w:cs="Times New Roman"/>
      <w:sz w:val="20"/>
      <w:szCs w:val="20"/>
      <w:lang w:val="x-none" w:eastAsia="x-none"/>
    </w:rPr>
  </w:style>
  <w:style w:type="paragraph" w:customStyle="1" w:styleId="B2">
    <w:name w:val="B2"/>
    <w:basedOn w:val="List2"/>
    <w:link w:val="B2Char"/>
    <w:rsid w:val="00C606EA"/>
    <w:pPr>
      <w:ind w:left="851" w:hanging="284"/>
      <w:contextualSpacing w:val="0"/>
    </w:pPr>
    <w:rPr>
      <w:rFonts w:ascii="Times New Roman" w:eastAsia="Times New Roman" w:hAnsi="Times New Roman"/>
      <w:sz w:val="20"/>
      <w:lang w:val="x-none" w:eastAsia="x-none"/>
    </w:rPr>
  </w:style>
  <w:style w:type="character" w:customStyle="1" w:styleId="B2Char">
    <w:name w:val="B2 Char"/>
    <w:link w:val="B2"/>
    <w:qFormat/>
    <w:rsid w:val="00C606EA"/>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C606EA"/>
    <w:pPr>
      <w:ind w:left="360" w:hanging="360"/>
      <w:contextualSpacing/>
    </w:pPr>
  </w:style>
  <w:style w:type="paragraph" w:styleId="List2">
    <w:name w:val="List 2"/>
    <w:basedOn w:val="Normal"/>
    <w:uiPriority w:val="99"/>
    <w:semiHidden/>
    <w:unhideWhenUsed/>
    <w:rsid w:val="00C606EA"/>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7646">
      <w:bodyDiv w:val="1"/>
      <w:marLeft w:val="0"/>
      <w:marRight w:val="0"/>
      <w:marTop w:val="0"/>
      <w:marBottom w:val="0"/>
      <w:divBdr>
        <w:top w:val="none" w:sz="0" w:space="0" w:color="auto"/>
        <w:left w:val="none" w:sz="0" w:space="0" w:color="auto"/>
        <w:bottom w:val="none" w:sz="0" w:space="0" w:color="auto"/>
        <w:right w:val="none" w:sz="0" w:space="0" w:color="auto"/>
      </w:divBdr>
    </w:div>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133448080">
      <w:bodyDiv w:val="1"/>
      <w:marLeft w:val="0"/>
      <w:marRight w:val="0"/>
      <w:marTop w:val="0"/>
      <w:marBottom w:val="0"/>
      <w:divBdr>
        <w:top w:val="none" w:sz="0" w:space="0" w:color="auto"/>
        <w:left w:val="none" w:sz="0" w:space="0" w:color="auto"/>
        <w:bottom w:val="none" w:sz="0" w:space="0" w:color="auto"/>
        <w:right w:val="none" w:sz="0" w:space="0" w:color="auto"/>
      </w:divBdr>
    </w:div>
    <w:div w:id="1386637516">
      <w:bodyDiv w:val="1"/>
      <w:marLeft w:val="0"/>
      <w:marRight w:val="0"/>
      <w:marTop w:val="0"/>
      <w:marBottom w:val="0"/>
      <w:divBdr>
        <w:top w:val="none" w:sz="0" w:space="0" w:color="auto"/>
        <w:left w:val="none" w:sz="0" w:space="0" w:color="auto"/>
        <w:bottom w:val="none" w:sz="0" w:space="0" w:color="auto"/>
        <w:right w:val="none" w:sz="0" w:space="0" w:color="auto"/>
      </w:divBdr>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 w:id="2055810969">
      <w:bodyDiv w:val="1"/>
      <w:marLeft w:val="0"/>
      <w:marRight w:val="0"/>
      <w:marTop w:val="0"/>
      <w:marBottom w:val="0"/>
      <w:divBdr>
        <w:top w:val="none" w:sz="0" w:space="0" w:color="auto"/>
        <w:left w:val="none" w:sz="0" w:space="0" w:color="auto"/>
        <w:bottom w:val="none" w:sz="0" w:space="0" w:color="auto"/>
        <w:right w:val="none" w:sz="0" w:space="0" w:color="auto"/>
      </w:divBdr>
    </w:div>
    <w:div w:id="207986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ovlan\Dropbox\3GPP\RAN%203\RAN3_104%20Reno\Inbox\R3-192061.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__11.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2C171D-7EFC-4F93-BB17-51B8F2287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1343</Words>
  <Characters>7657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 (AT&amp;T)</cp:lastModifiedBy>
  <cp:revision>5</cp:revision>
  <dcterms:created xsi:type="dcterms:W3CDTF">2019-05-03T02:45:00Z</dcterms:created>
  <dcterms:modified xsi:type="dcterms:W3CDTF">2019-05-03T15:39:00Z</dcterms:modified>
</cp:coreProperties>
</file>